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C7" w:rsidRPr="00A21C42" w:rsidRDefault="00AE75C7" w:rsidP="00AE75C7">
      <w:pPr>
        <w:jc w:val="both"/>
        <w:rPr>
          <w:rFonts w:ascii="Tahoma" w:hAnsi="Tahoma" w:cs="Tahoma"/>
          <w:color w:val="002060"/>
        </w:rPr>
      </w:pPr>
    </w:p>
    <w:p w:rsidR="00AE75C7" w:rsidRPr="00AE75C7" w:rsidRDefault="00AE75C7" w:rsidP="00AE75C7">
      <w:pPr>
        <w:pStyle w:val="Brezrazmikov"/>
        <w:pBdr>
          <w:top w:val="single" w:sz="4" w:space="1" w:color="auto"/>
          <w:left w:val="single" w:sz="4" w:space="4" w:color="auto"/>
          <w:bottom w:val="single" w:sz="4" w:space="1" w:color="auto"/>
          <w:right w:val="single" w:sz="4" w:space="4" w:color="auto"/>
        </w:pBdr>
        <w:jc w:val="both"/>
        <w:rPr>
          <w:rFonts w:ascii="Tahoma" w:hAnsi="Tahoma" w:cs="Tahoma"/>
          <w:b/>
          <w:sz w:val="28"/>
          <w:szCs w:val="28"/>
        </w:rPr>
      </w:pPr>
      <w:r w:rsidRPr="00AE75C7">
        <w:rPr>
          <w:rFonts w:ascii="Tahoma" w:hAnsi="Tahoma" w:cs="Tahoma"/>
          <w:b/>
          <w:sz w:val="28"/>
          <w:szCs w:val="28"/>
        </w:rPr>
        <w:t>VSEBNOST TRANSMAŠČOBNIH KISLIN V ŽIVILIH – PRIPOROČILA ZA GOSTINCE</w:t>
      </w:r>
    </w:p>
    <w:p w:rsidR="00AE75C7" w:rsidRDefault="00AE75C7" w:rsidP="00AE75C7">
      <w:pPr>
        <w:jc w:val="both"/>
        <w:rPr>
          <w:rFonts w:ascii="Tahoma" w:hAnsi="Tahoma" w:cs="Tahoma"/>
        </w:rPr>
      </w:pPr>
    </w:p>
    <w:p w:rsidR="00AE75C7" w:rsidRPr="00AE75C7" w:rsidRDefault="00AE75C7" w:rsidP="00AE75C7">
      <w:pPr>
        <w:jc w:val="both"/>
        <w:rPr>
          <w:rFonts w:ascii="Tahoma" w:hAnsi="Tahoma" w:cs="Tahoma"/>
          <w:sz w:val="20"/>
          <w:szCs w:val="20"/>
        </w:rPr>
      </w:pPr>
      <w:r w:rsidRPr="00AE75C7">
        <w:rPr>
          <w:rFonts w:ascii="Tahoma" w:hAnsi="Tahoma" w:cs="Tahoma"/>
          <w:sz w:val="20"/>
          <w:szCs w:val="20"/>
        </w:rPr>
        <w:t xml:space="preserve">V lanskem letu je stopil v veljavo tudi Pravilnik o največji dovoljeni vsebnosti </w:t>
      </w:r>
      <w:proofErr w:type="spellStart"/>
      <w:r w:rsidRPr="00AE75C7">
        <w:rPr>
          <w:rFonts w:ascii="Tahoma" w:hAnsi="Tahoma" w:cs="Tahoma"/>
          <w:sz w:val="20"/>
          <w:szCs w:val="20"/>
        </w:rPr>
        <w:t>transmaščobnih</w:t>
      </w:r>
      <w:proofErr w:type="spellEnd"/>
      <w:r w:rsidRPr="00AE75C7">
        <w:rPr>
          <w:rFonts w:ascii="Tahoma" w:hAnsi="Tahoma" w:cs="Tahoma"/>
          <w:sz w:val="20"/>
          <w:szCs w:val="20"/>
        </w:rPr>
        <w:t xml:space="preserve"> kislin v živilih (Uradni list RS, št. 18/18, 23/18), ki velja samo v Sloveniji. S strani UVHVVR smo prejeli informacijo, da se na nivoju EU pripravlja uredba, ki bo prav tako urejala področje </w:t>
      </w:r>
      <w:proofErr w:type="spellStart"/>
      <w:r w:rsidRPr="00AE75C7">
        <w:rPr>
          <w:rFonts w:ascii="Tahoma" w:hAnsi="Tahoma" w:cs="Tahoma"/>
          <w:sz w:val="20"/>
          <w:szCs w:val="20"/>
        </w:rPr>
        <w:t>transmaščob</w:t>
      </w:r>
      <w:proofErr w:type="spellEnd"/>
      <w:r w:rsidRPr="00AE75C7">
        <w:rPr>
          <w:rFonts w:ascii="Tahoma" w:hAnsi="Tahoma" w:cs="Tahoma"/>
          <w:sz w:val="20"/>
          <w:szCs w:val="20"/>
        </w:rPr>
        <w:t>.</w:t>
      </w:r>
      <w:r w:rsidRPr="00AE75C7">
        <w:rPr>
          <w:rFonts w:ascii="Tahoma" w:hAnsi="Tahoma" w:cs="Tahoma"/>
          <w:color w:val="000000"/>
          <w:sz w:val="20"/>
          <w:szCs w:val="20"/>
        </w:rPr>
        <w:t xml:space="preserve"> </w:t>
      </w:r>
    </w:p>
    <w:p w:rsidR="00AE75C7" w:rsidRPr="00AE75C7" w:rsidRDefault="00AE75C7" w:rsidP="00AE75C7">
      <w:pPr>
        <w:rPr>
          <w:rFonts w:ascii="Tahoma" w:hAnsi="Tahoma" w:cs="Tahoma"/>
          <w:sz w:val="20"/>
          <w:szCs w:val="20"/>
        </w:rPr>
      </w:pPr>
    </w:p>
    <w:p w:rsidR="00AE75C7" w:rsidRPr="00AE75C7" w:rsidRDefault="00AE75C7" w:rsidP="00AE75C7">
      <w:pPr>
        <w:jc w:val="both"/>
        <w:rPr>
          <w:rFonts w:ascii="Tahoma" w:hAnsi="Tahoma" w:cs="Tahoma"/>
          <w:sz w:val="20"/>
          <w:szCs w:val="20"/>
        </w:rPr>
      </w:pPr>
      <w:r w:rsidRPr="00AE75C7">
        <w:rPr>
          <w:rFonts w:ascii="Tahoma" w:hAnsi="Tahoma" w:cs="Tahoma"/>
          <w:sz w:val="20"/>
          <w:szCs w:val="20"/>
        </w:rPr>
        <w:t xml:space="preserve">Določbe tega pravilnika se uporabljajo za </w:t>
      </w:r>
      <w:r w:rsidRPr="00AE75C7">
        <w:rPr>
          <w:rFonts w:ascii="Tahoma" w:hAnsi="Tahoma" w:cs="Tahoma"/>
          <w:b/>
          <w:bCs/>
          <w:sz w:val="20"/>
          <w:szCs w:val="20"/>
        </w:rPr>
        <w:t>vsa rastlinska olja, maščobe in maščobne emulzije ter živila, ki vsebujejo takšna olja, maščobe in maščobne emulzije</w:t>
      </w:r>
      <w:r w:rsidRPr="00AE75C7">
        <w:rPr>
          <w:rFonts w:ascii="Tahoma" w:hAnsi="Tahoma" w:cs="Tahoma"/>
          <w:sz w:val="20"/>
          <w:szCs w:val="20"/>
        </w:rPr>
        <w:t xml:space="preserve"> (1. člen). Pravilnik govori o tem, da največja dovoljena vsebnost </w:t>
      </w:r>
      <w:proofErr w:type="spellStart"/>
      <w:r w:rsidRPr="00AE75C7">
        <w:rPr>
          <w:rFonts w:ascii="Tahoma" w:hAnsi="Tahoma" w:cs="Tahoma"/>
          <w:sz w:val="20"/>
          <w:szCs w:val="20"/>
        </w:rPr>
        <w:t>transmaščobnih</w:t>
      </w:r>
      <w:proofErr w:type="spellEnd"/>
      <w:r w:rsidRPr="00AE75C7">
        <w:rPr>
          <w:rFonts w:ascii="Tahoma" w:hAnsi="Tahoma" w:cs="Tahoma"/>
          <w:sz w:val="20"/>
          <w:szCs w:val="20"/>
        </w:rPr>
        <w:t xml:space="preserve"> kislin </w:t>
      </w:r>
      <w:r w:rsidRPr="00AE75C7">
        <w:rPr>
          <w:rFonts w:ascii="Tahoma" w:hAnsi="Tahoma" w:cs="Tahoma"/>
          <w:b/>
          <w:bCs/>
          <w:sz w:val="20"/>
          <w:szCs w:val="20"/>
        </w:rPr>
        <w:t xml:space="preserve">v živilih </w:t>
      </w:r>
      <w:r w:rsidRPr="00AE75C7">
        <w:rPr>
          <w:rFonts w:ascii="Tahoma" w:hAnsi="Tahoma" w:cs="Tahoma"/>
          <w:sz w:val="20"/>
          <w:szCs w:val="20"/>
        </w:rPr>
        <w:t xml:space="preserve">iz 1. člena tega pravilnika ne sme preseči 2 g na 100 g skupne vsebnosti maščob v živilu. Z uveljavitvijo pravilnika omejitev velja tudi za živila iz evropskih in tretjih držav. </w:t>
      </w:r>
    </w:p>
    <w:p w:rsidR="00AE75C7" w:rsidRPr="00AE75C7" w:rsidRDefault="00AE75C7" w:rsidP="00AE75C7">
      <w:pPr>
        <w:jc w:val="both"/>
        <w:rPr>
          <w:rFonts w:ascii="Tahoma" w:hAnsi="Tahoma" w:cs="Tahoma"/>
          <w:sz w:val="20"/>
          <w:szCs w:val="20"/>
        </w:rPr>
      </w:pPr>
    </w:p>
    <w:p w:rsidR="00AE75C7" w:rsidRPr="00AE75C7" w:rsidRDefault="00AE75C7" w:rsidP="00AE75C7">
      <w:pPr>
        <w:jc w:val="both"/>
        <w:rPr>
          <w:rFonts w:ascii="Tahoma" w:hAnsi="Tahoma" w:cs="Tahoma"/>
          <w:sz w:val="20"/>
          <w:szCs w:val="20"/>
        </w:rPr>
      </w:pPr>
      <w:r w:rsidRPr="00AE75C7">
        <w:rPr>
          <w:rFonts w:ascii="Tahoma" w:hAnsi="Tahoma" w:cs="Tahoma"/>
          <w:sz w:val="20"/>
          <w:szCs w:val="20"/>
        </w:rPr>
        <w:t>Rastlinska olja in rastlinske maščobe, se v gostinstvu sicer uporabljajo bolj kot podporno tehnološko sredstvo pri izvedbi toplotne obdelave in redko kot prav sestavina živil (sem uvrščamo predvsem pekovske izdelke), ki bodo toplotno obdelane oz. če so že uporabljena kot sestavina, je to praviloma v manjših deležih in je to težko merljivo.</w:t>
      </w:r>
    </w:p>
    <w:p w:rsidR="00AE75C7" w:rsidRPr="00AE75C7" w:rsidRDefault="00AE75C7" w:rsidP="00AE75C7">
      <w:pPr>
        <w:jc w:val="both"/>
        <w:rPr>
          <w:rFonts w:ascii="Tahoma" w:hAnsi="Tahoma" w:cs="Tahoma"/>
          <w:b/>
          <w:bCs/>
          <w:sz w:val="20"/>
          <w:szCs w:val="20"/>
        </w:rPr>
      </w:pPr>
    </w:p>
    <w:p w:rsidR="00AE75C7" w:rsidRPr="00AE75C7" w:rsidRDefault="00AE75C7" w:rsidP="00AE75C7">
      <w:pPr>
        <w:jc w:val="both"/>
        <w:rPr>
          <w:rFonts w:ascii="Tahoma" w:hAnsi="Tahoma" w:cs="Tahoma"/>
          <w:b/>
          <w:bCs/>
          <w:sz w:val="20"/>
          <w:szCs w:val="20"/>
          <w:lang w:eastAsia="sl-SI"/>
        </w:rPr>
      </w:pPr>
      <w:r w:rsidRPr="00AE75C7">
        <w:rPr>
          <w:rFonts w:ascii="Tahoma" w:hAnsi="Tahoma" w:cs="Tahoma"/>
          <w:b/>
          <w:bCs/>
          <w:sz w:val="20"/>
          <w:szCs w:val="20"/>
        </w:rPr>
        <w:t>Kako ravnati v skladu z zakonodajo?</w:t>
      </w:r>
    </w:p>
    <w:p w:rsidR="00AE75C7" w:rsidRPr="00AE75C7" w:rsidRDefault="00AE75C7" w:rsidP="00AE75C7">
      <w:pPr>
        <w:jc w:val="both"/>
        <w:rPr>
          <w:rFonts w:ascii="Tahoma" w:hAnsi="Tahoma" w:cs="Tahoma"/>
          <w:sz w:val="20"/>
          <w:szCs w:val="20"/>
        </w:rPr>
      </w:pPr>
      <w:r w:rsidRPr="00AE75C7">
        <w:rPr>
          <w:rFonts w:ascii="Tahoma" w:hAnsi="Tahoma" w:cs="Tahoma"/>
          <w:sz w:val="20"/>
          <w:szCs w:val="20"/>
        </w:rPr>
        <w:t>Z izborom ustreznih surovin in postopkov priprave je tovrstna živila mogoče proizvesti tako, da ne bodo presegala zakonsko predpisane omejitve.</w:t>
      </w:r>
    </w:p>
    <w:p w:rsidR="00AE75C7" w:rsidRPr="00AE75C7" w:rsidRDefault="00AE75C7" w:rsidP="00AE75C7">
      <w:pPr>
        <w:pStyle w:val="Brezrazmikov"/>
        <w:jc w:val="both"/>
        <w:rPr>
          <w:rFonts w:ascii="Tahoma" w:hAnsi="Tahoma" w:cs="Tahoma"/>
          <w:sz w:val="20"/>
          <w:szCs w:val="20"/>
        </w:rPr>
      </w:pPr>
      <w:r w:rsidRPr="00AE75C7">
        <w:rPr>
          <w:rFonts w:ascii="Tahoma" w:hAnsi="Tahoma" w:cs="Tahoma"/>
          <w:sz w:val="20"/>
          <w:szCs w:val="20"/>
        </w:rPr>
        <w:t xml:space="preserve">Najpomembnejši korak je zamenjava delno hidrogeniranih rastlinskih maščob z drugimi sestavinami. </w:t>
      </w:r>
      <w:proofErr w:type="spellStart"/>
      <w:r w:rsidRPr="00AE75C7">
        <w:rPr>
          <w:rFonts w:ascii="Tahoma" w:hAnsi="Tahoma" w:cs="Tahoma"/>
          <w:sz w:val="20"/>
          <w:szCs w:val="20"/>
        </w:rPr>
        <w:t>Transmaščobne</w:t>
      </w:r>
      <w:proofErr w:type="spellEnd"/>
      <w:r w:rsidRPr="00AE75C7">
        <w:rPr>
          <w:rFonts w:ascii="Tahoma" w:hAnsi="Tahoma" w:cs="Tahoma"/>
          <w:sz w:val="20"/>
          <w:szCs w:val="20"/>
        </w:rPr>
        <w:t xml:space="preserve"> kisline v prehrani izvirajo predvsem iz delno hidrogeniranih olj, ki se uporabljajo za proizvodnjo trdih rastlinskih maščob, olj za cvrenje in hrane pripravljene iz tovrstnih sestavin (hidrogenirana olja, rastlinska mast, margarina). </w:t>
      </w:r>
    </w:p>
    <w:p w:rsidR="00AE75C7" w:rsidRPr="00AE75C7" w:rsidRDefault="00AE75C7" w:rsidP="00AE75C7">
      <w:pPr>
        <w:pStyle w:val="Brezrazmikov"/>
        <w:jc w:val="both"/>
        <w:rPr>
          <w:rFonts w:ascii="Tahoma" w:hAnsi="Tahoma" w:cs="Tahoma"/>
          <w:sz w:val="20"/>
          <w:szCs w:val="20"/>
        </w:rPr>
      </w:pPr>
      <w:r w:rsidRPr="00AE75C7">
        <w:rPr>
          <w:rFonts w:ascii="Tahoma" w:hAnsi="Tahoma" w:cs="Tahoma"/>
          <w:sz w:val="20"/>
          <w:szCs w:val="20"/>
        </w:rPr>
        <w:t xml:space="preserve">Bogati viri škodljivih trans maščobnih kislin so posledično tako ocvrta živila, čips, polpripravljena hrana, hitra hrana. </w:t>
      </w:r>
    </w:p>
    <w:p w:rsidR="00AE75C7" w:rsidRDefault="00AE75C7" w:rsidP="00AE75C7">
      <w:pPr>
        <w:jc w:val="both"/>
        <w:rPr>
          <w:rFonts w:ascii="Tahoma" w:hAnsi="Tahoma" w:cs="Tahoma"/>
          <w:b/>
          <w:bCs/>
        </w:rPr>
      </w:pPr>
    </w:p>
    <w:p w:rsidR="00AE75C7" w:rsidRPr="00AC1487" w:rsidRDefault="00AE75C7" w:rsidP="00AE75C7">
      <w:pPr>
        <w:jc w:val="both"/>
        <w:rPr>
          <w:rFonts w:ascii="Tahoma" w:hAnsi="Tahoma" w:cs="Tahoma"/>
        </w:rPr>
      </w:pPr>
      <w:r w:rsidRPr="00AC1487">
        <w:rPr>
          <w:rFonts w:ascii="Tahoma" w:hAnsi="Tahoma" w:cs="Tahoma"/>
          <w:b/>
          <w:bCs/>
        </w:rPr>
        <w:t xml:space="preserve">NOSILCI DEJAVNOSTI, KI SE PRI NOTRANJEM NADZORU SKLICUJETE NA SMERNICE DOBRE HIGIENSKE PRAKSE ZA GOSTINSTVO </w:t>
      </w:r>
    </w:p>
    <w:p w:rsidR="00AE75C7" w:rsidRPr="00AC1487" w:rsidRDefault="00AE75C7" w:rsidP="00AE75C7">
      <w:pPr>
        <w:pStyle w:val="Odstavekseznama"/>
        <w:numPr>
          <w:ilvl w:val="0"/>
          <w:numId w:val="1"/>
        </w:numPr>
        <w:spacing w:after="160" w:line="252" w:lineRule="auto"/>
        <w:contextualSpacing/>
        <w:jc w:val="both"/>
        <w:rPr>
          <w:rFonts w:ascii="Tahoma" w:hAnsi="Tahoma" w:cs="Tahoma"/>
          <w:sz w:val="20"/>
          <w:szCs w:val="20"/>
        </w:rPr>
      </w:pPr>
      <w:r w:rsidRPr="00AC1487">
        <w:rPr>
          <w:rFonts w:ascii="Tahoma" w:hAnsi="Tahoma" w:cs="Tahoma"/>
          <w:sz w:val="20"/>
          <w:szCs w:val="20"/>
        </w:rPr>
        <w:t>Uporabljajte ukrepe, ki jih priporočamo gostincem:</w:t>
      </w:r>
    </w:p>
    <w:p w:rsidR="00AE75C7" w:rsidRPr="00AC1487" w:rsidRDefault="00AE75C7" w:rsidP="00AE75C7">
      <w:pPr>
        <w:pStyle w:val="Odstavekseznama"/>
        <w:numPr>
          <w:ilvl w:val="1"/>
          <w:numId w:val="1"/>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Zamenjamo sestavine, ki vsebujejo delno hidrogenirane rastlinske maščobe, z drugimi sestavinami. </w:t>
      </w:r>
    </w:p>
    <w:p w:rsidR="00AE75C7" w:rsidRPr="00AC1487" w:rsidRDefault="00AE75C7" w:rsidP="00AE75C7">
      <w:pPr>
        <w:pStyle w:val="Odstavekseznama"/>
        <w:numPr>
          <w:ilvl w:val="1"/>
          <w:numId w:val="1"/>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Priporoča se izbira dostopnih kakovostnih virov nenasičenih maščob, kot so npr. repično, sojino, sončnično in oljčno olje. </w:t>
      </w:r>
    </w:p>
    <w:p w:rsidR="00AE75C7" w:rsidRPr="00AC1487" w:rsidRDefault="00AE75C7" w:rsidP="00AE75C7">
      <w:pPr>
        <w:pStyle w:val="Odstavekseznama"/>
        <w:numPr>
          <w:ilvl w:val="1"/>
          <w:numId w:val="1"/>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Maščobo dodajamo hrani tik pred serviranjem in je ne pregrevamo dalj časa ali celo večkrat. </w:t>
      </w:r>
    </w:p>
    <w:p w:rsidR="00AE75C7" w:rsidRPr="00AC1487" w:rsidRDefault="00AE75C7" w:rsidP="00AE75C7">
      <w:pPr>
        <w:pStyle w:val="Odstavekseznama"/>
        <w:numPr>
          <w:ilvl w:val="1"/>
          <w:numId w:val="1"/>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Namesto cvrtja se, tam kjer je to možno, poslužujte alternativnih postopkov toplotne obdelave (npr. dušenje ali pečenje na žaru).</w:t>
      </w:r>
    </w:p>
    <w:p w:rsidR="00AE75C7" w:rsidRPr="00AC1487" w:rsidRDefault="00AE75C7" w:rsidP="00AE75C7">
      <w:pPr>
        <w:pStyle w:val="Odstavekseznama"/>
        <w:numPr>
          <w:ilvl w:val="1"/>
          <w:numId w:val="1"/>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V primeru, da kupite sestavine, ki vsebujejo </w:t>
      </w:r>
      <w:r w:rsidRPr="00AC1487">
        <w:rPr>
          <w:rFonts w:ascii="Tahoma" w:hAnsi="Tahoma" w:cs="Tahoma"/>
          <w:b/>
          <w:bCs/>
          <w:sz w:val="20"/>
          <w:szCs w:val="20"/>
        </w:rPr>
        <w:t>delno hidrogenirane rastlinske maščobe</w:t>
      </w:r>
      <w:r w:rsidRPr="00AC1487">
        <w:rPr>
          <w:rFonts w:ascii="Tahoma" w:hAnsi="Tahoma" w:cs="Tahoma"/>
          <w:sz w:val="20"/>
          <w:szCs w:val="20"/>
        </w:rPr>
        <w:t xml:space="preserve"> izven Slovenije, predhodno preglejte deklaracije živil glede njihove vsebnosti. V kolikor so omenjen sestavine (izdelki) že pri vas, jih izločite iz prometa oz. zavrzite. </w:t>
      </w:r>
    </w:p>
    <w:p w:rsidR="00AE75C7" w:rsidRPr="00AC1487" w:rsidRDefault="00AE75C7" w:rsidP="00AE75C7">
      <w:pPr>
        <w:pStyle w:val="Odstavekseznama"/>
        <w:numPr>
          <w:ilvl w:val="0"/>
          <w:numId w:val="1"/>
        </w:numPr>
        <w:spacing w:after="160" w:line="252" w:lineRule="auto"/>
        <w:contextualSpacing/>
        <w:jc w:val="both"/>
        <w:rPr>
          <w:rFonts w:ascii="Tahoma" w:hAnsi="Tahoma" w:cs="Tahoma"/>
          <w:sz w:val="20"/>
          <w:szCs w:val="20"/>
        </w:rPr>
      </w:pPr>
      <w:r w:rsidRPr="00AC1487">
        <w:rPr>
          <w:rFonts w:ascii="Tahoma" w:hAnsi="Tahoma" w:cs="Tahoma"/>
          <w:sz w:val="20"/>
          <w:szCs w:val="20"/>
        </w:rPr>
        <w:t xml:space="preserve">Usposobite zaposlene. V prilogi vam posredujemo obrazec z vsebino usposabljanja.  </w:t>
      </w:r>
    </w:p>
    <w:p w:rsidR="00AE75C7" w:rsidRPr="00AC1487" w:rsidRDefault="00AE75C7" w:rsidP="00AE75C7">
      <w:pPr>
        <w:jc w:val="both"/>
        <w:rPr>
          <w:rFonts w:ascii="Tahoma" w:hAnsi="Tahoma" w:cs="Tahoma"/>
        </w:rPr>
      </w:pPr>
      <w:r w:rsidRPr="00AC1487">
        <w:rPr>
          <w:rFonts w:ascii="Tahoma" w:hAnsi="Tahoma" w:cs="Tahoma"/>
          <w:b/>
          <w:bCs/>
        </w:rPr>
        <w:t>NOSILCI DEJAVNOSTI, KI IMATE LASTNE HACCP NAČRTE</w:t>
      </w:r>
    </w:p>
    <w:p w:rsidR="00AE75C7" w:rsidRPr="00AC1487" w:rsidRDefault="00AE75C7" w:rsidP="00AE75C7">
      <w:pPr>
        <w:pStyle w:val="Odstavekseznama"/>
        <w:numPr>
          <w:ilvl w:val="0"/>
          <w:numId w:val="2"/>
        </w:numPr>
        <w:spacing w:after="160" w:line="252" w:lineRule="auto"/>
        <w:contextualSpacing/>
        <w:jc w:val="both"/>
        <w:rPr>
          <w:rFonts w:ascii="Tahoma" w:hAnsi="Tahoma" w:cs="Tahoma"/>
          <w:sz w:val="20"/>
          <w:szCs w:val="20"/>
        </w:rPr>
      </w:pPr>
      <w:r w:rsidRPr="00AC1487">
        <w:rPr>
          <w:rFonts w:ascii="Tahoma" w:hAnsi="Tahoma" w:cs="Tahoma"/>
          <w:sz w:val="20"/>
          <w:szCs w:val="20"/>
        </w:rPr>
        <w:t xml:space="preserve">Dopolnite načrt v poglavju »Analiza dejavnikov tveganja«, z vsebnostjo </w:t>
      </w:r>
      <w:proofErr w:type="spellStart"/>
      <w:r w:rsidRPr="00AC1487">
        <w:rPr>
          <w:rFonts w:ascii="Tahoma" w:hAnsi="Tahoma" w:cs="Tahoma"/>
          <w:sz w:val="20"/>
          <w:szCs w:val="20"/>
        </w:rPr>
        <w:t>transmaščobnih</w:t>
      </w:r>
      <w:proofErr w:type="spellEnd"/>
      <w:r w:rsidRPr="00AC1487">
        <w:rPr>
          <w:rFonts w:ascii="Tahoma" w:hAnsi="Tahoma" w:cs="Tahoma"/>
          <w:sz w:val="20"/>
          <w:szCs w:val="20"/>
        </w:rPr>
        <w:t xml:space="preserve"> kislin v živilih pri kemijskem tveganju. </w:t>
      </w:r>
    </w:p>
    <w:p w:rsidR="00AE75C7" w:rsidRPr="00AC1487" w:rsidRDefault="00AE75C7" w:rsidP="00AE75C7">
      <w:pPr>
        <w:pStyle w:val="Odstavekseznama"/>
        <w:numPr>
          <w:ilvl w:val="0"/>
          <w:numId w:val="2"/>
        </w:numPr>
        <w:spacing w:after="160" w:line="252" w:lineRule="auto"/>
        <w:contextualSpacing/>
        <w:jc w:val="both"/>
        <w:rPr>
          <w:rFonts w:ascii="Tahoma" w:hAnsi="Tahoma" w:cs="Tahoma"/>
          <w:sz w:val="20"/>
          <w:szCs w:val="20"/>
        </w:rPr>
      </w:pPr>
      <w:r w:rsidRPr="00AC1487">
        <w:rPr>
          <w:rFonts w:ascii="Tahoma" w:hAnsi="Tahoma" w:cs="Tahoma"/>
          <w:sz w:val="20"/>
          <w:szCs w:val="20"/>
        </w:rPr>
        <w:t>Izvajajte preventivne ukrepe, ki jih priporočamo gostincem:</w:t>
      </w:r>
    </w:p>
    <w:p w:rsidR="00AE75C7" w:rsidRPr="00AC1487" w:rsidRDefault="00AE75C7" w:rsidP="00AE75C7">
      <w:pPr>
        <w:pStyle w:val="Odstavekseznama"/>
        <w:numPr>
          <w:ilvl w:val="1"/>
          <w:numId w:val="3"/>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Zamenjamo sestavine, ki vsebujejo delno hidrogenirane rastlinske maščobe, z drugimi sestavinami. </w:t>
      </w:r>
    </w:p>
    <w:p w:rsidR="00AE75C7" w:rsidRPr="00AC1487" w:rsidRDefault="00AE75C7" w:rsidP="00AE75C7">
      <w:pPr>
        <w:pStyle w:val="Odstavekseznama"/>
        <w:numPr>
          <w:ilvl w:val="1"/>
          <w:numId w:val="3"/>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Priporoča se izbira dostopnih kakovostnih virov nenasičenih maščob, kot so npr. repično, sojino, sončnično in oljčno olje. </w:t>
      </w:r>
    </w:p>
    <w:p w:rsidR="00AE75C7" w:rsidRPr="00AC1487" w:rsidRDefault="00AE75C7" w:rsidP="00AE75C7">
      <w:pPr>
        <w:pStyle w:val="Odstavekseznama"/>
        <w:numPr>
          <w:ilvl w:val="1"/>
          <w:numId w:val="3"/>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Maščobo dodajamo hrani tik pred serviranjem in je ne pregrevamo dalj časa ali celo večkrat. </w:t>
      </w:r>
    </w:p>
    <w:p w:rsidR="00AE75C7" w:rsidRPr="00AC1487" w:rsidRDefault="00AE75C7" w:rsidP="00AE75C7">
      <w:pPr>
        <w:pStyle w:val="Odstavekseznama"/>
        <w:numPr>
          <w:ilvl w:val="1"/>
          <w:numId w:val="3"/>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Namesto cvrtja se, tam kjer je to možno, poslužujte alternativnih postopkov toplotne obdelave (npr. dušenje ali pečenje na žaru).</w:t>
      </w:r>
    </w:p>
    <w:p w:rsidR="00AE75C7" w:rsidRPr="00AC1487" w:rsidRDefault="00AE75C7" w:rsidP="00AE75C7">
      <w:pPr>
        <w:pStyle w:val="Odstavekseznama"/>
        <w:numPr>
          <w:ilvl w:val="1"/>
          <w:numId w:val="3"/>
        </w:numPr>
        <w:spacing w:after="160" w:line="252" w:lineRule="auto"/>
        <w:ind w:left="993" w:hanging="284"/>
        <w:contextualSpacing/>
        <w:jc w:val="both"/>
        <w:rPr>
          <w:rFonts w:ascii="Tahoma" w:hAnsi="Tahoma" w:cs="Tahoma"/>
          <w:sz w:val="20"/>
          <w:szCs w:val="20"/>
        </w:rPr>
      </w:pPr>
      <w:r w:rsidRPr="00AC1487">
        <w:rPr>
          <w:rFonts w:ascii="Tahoma" w:hAnsi="Tahoma" w:cs="Tahoma"/>
          <w:sz w:val="20"/>
          <w:szCs w:val="20"/>
        </w:rPr>
        <w:t xml:space="preserve">V primeru, da kupite sestavine, ki vsebujejo </w:t>
      </w:r>
      <w:r w:rsidRPr="00AC1487">
        <w:rPr>
          <w:rFonts w:ascii="Tahoma" w:hAnsi="Tahoma" w:cs="Tahoma"/>
          <w:b/>
          <w:bCs/>
          <w:sz w:val="20"/>
          <w:szCs w:val="20"/>
        </w:rPr>
        <w:t>delno hidrogenirane rastlinske maščobe</w:t>
      </w:r>
      <w:r w:rsidRPr="00AC1487">
        <w:rPr>
          <w:rFonts w:ascii="Tahoma" w:hAnsi="Tahoma" w:cs="Tahoma"/>
          <w:sz w:val="20"/>
          <w:szCs w:val="20"/>
        </w:rPr>
        <w:t xml:space="preserve"> izven Slovenije, predhodno preglejte deklaracije živil glede njihove vsebnosti. V kolikor so omenjen sestavine (izdelki) že pri vas, jih izločite iz prometa oz. zavrzite. </w:t>
      </w:r>
    </w:p>
    <w:p w:rsidR="00AE75C7" w:rsidRPr="00AC1487" w:rsidRDefault="00AE75C7" w:rsidP="00AE75C7">
      <w:pPr>
        <w:pStyle w:val="Odstavekseznama"/>
        <w:numPr>
          <w:ilvl w:val="0"/>
          <w:numId w:val="2"/>
        </w:numPr>
        <w:spacing w:after="160" w:line="252" w:lineRule="auto"/>
        <w:contextualSpacing/>
        <w:jc w:val="both"/>
        <w:rPr>
          <w:rFonts w:ascii="Tahoma" w:hAnsi="Tahoma" w:cs="Tahoma"/>
          <w:sz w:val="20"/>
          <w:szCs w:val="20"/>
        </w:rPr>
      </w:pPr>
      <w:r w:rsidRPr="00AC1487">
        <w:rPr>
          <w:rFonts w:ascii="Tahoma" w:hAnsi="Tahoma" w:cs="Tahoma"/>
          <w:sz w:val="20"/>
          <w:szCs w:val="20"/>
        </w:rPr>
        <w:t xml:space="preserve">Usposobite zaposlene. V prilogi vam posredujemo obrazec z vsebino usposabljanja.  </w:t>
      </w:r>
    </w:p>
    <w:p w:rsidR="00E97952" w:rsidRDefault="00AE75C7"/>
    <w:p w:rsidR="00AE75C7" w:rsidRDefault="00AE75C7" w:rsidP="00AE75C7">
      <w:pPr>
        <w:rPr>
          <w:rFonts w:ascii="Arial" w:eastAsia="Times New Roman" w:hAnsi="Arial" w:cs="Arial"/>
          <w:b/>
          <w:color w:val="000000"/>
          <w:sz w:val="20"/>
          <w:szCs w:val="20"/>
          <w:lang w:eastAsia="sl-SI"/>
        </w:rPr>
      </w:pPr>
    </w:p>
    <w:p w:rsidR="00AE75C7" w:rsidRPr="00AC1487" w:rsidRDefault="00AE75C7" w:rsidP="00AE75C7">
      <w:pPr>
        <w:rPr>
          <w:rFonts w:ascii="Arial" w:eastAsia="Times New Roman" w:hAnsi="Arial" w:cs="Arial"/>
          <w:b/>
          <w:color w:val="000000"/>
          <w:sz w:val="20"/>
          <w:szCs w:val="20"/>
          <w:lang w:eastAsia="sl-SI"/>
        </w:rPr>
      </w:pPr>
      <w:bookmarkStart w:id="0" w:name="_GoBack"/>
      <w:bookmarkEnd w:id="0"/>
      <w:r w:rsidRPr="00AC1487">
        <w:rPr>
          <w:rFonts w:ascii="Arial" w:eastAsia="Times New Roman" w:hAnsi="Arial" w:cs="Arial"/>
          <w:b/>
          <w:color w:val="000000"/>
          <w:sz w:val="20"/>
          <w:szCs w:val="20"/>
          <w:lang w:eastAsia="sl-SI"/>
        </w:rPr>
        <w:lastRenderedPageBreak/>
        <w:t>OBRAZEC ZA EVIDENCO PRISOTNIH NA USPOSABLJANJU ZA DELO Z ŽIVILI</w:t>
      </w:r>
    </w:p>
    <w:p w:rsidR="00AE75C7" w:rsidRPr="00AC1487" w:rsidRDefault="00AE75C7" w:rsidP="00AE75C7">
      <w:pPr>
        <w:rPr>
          <w:rFonts w:ascii="Arial" w:eastAsia="Times New Roman" w:hAnsi="Arial" w:cs="Arial"/>
          <w:color w:val="000000"/>
          <w:sz w:val="20"/>
          <w:szCs w:val="20"/>
          <w:lang w:eastAsia="sl-SI"/>
        </w:rPr>
      </w:pPr>
    </w:p>
    <w:p w:rsidR="00AE75C7" w:rsidRPr="00AC1487" w:rsidRDefault="00AE75C7" w:rsidP="00AE75C7">
      <w:pPr>
        <w:rPr>
          <w:rFonts w:ascii="Arial" w:eastAsia="Times New Roman" w:hAnsi="Arial" w:cs="Arial"/>
          <w:b/>
          <w:color w:val="000000"/>
          <w:sz w:val="20"/>
          <w:szCs w:val="20"/>
          <w:lang w:eastAsia="sl-SI"/>
        </w:rPr>
      </w:pPr>
      <w:r w:rsidRPr="00AC1487">
        <w:rPr>
          <w:rFonts w:ascii="Arial" w:eastAsia="Times New Roman" w:hAnsi="Arial" w:cs="Arial"/>
          <w:b/>
          <w:color w:val="000000"/>
          <w:sz w:val="20"/>
          <w:szCs w:val="20"/>
          <w:lang w:eastAsia="sl-SI"/>
        </w:rPr>
        <w:t xml:space="preserve">Tema usposabljanja: </w:t>
      </w:r>
      <w:proofErr w:type="spellStart"/>
      <w:r w:rsidRPr="00AC1487">
        <w:rPr>
          <w:rFonts w:ascii="Arial" w:eastAsia="Times New Roman" w:hAnsi="Arial" w:cs="Arial"/>
          <w:b/>
          <w:color w:val="000000"/>
          <w:sz w:val="20"/>
          <w:szCs w:val="20"/>
          <w:u w:val="single"/>
          <w:lang w:eastAsia="sl-SI"/>
        </w:rPr>
        <w:t>Transmaščobne</w:t>
      </w:r>
      <w:proofErr w:type="spellEnd"/>
      <w:r w:rsidRPr="00AC1487">
        <w:rPr>
          <w:rFonts w:ascii="Arial" w:eastAsia="Times New Roman" w:hAnsi="Arial" w:cs="Arial"/>
          <w:b/>
          <w:color w:val="000000"/>
          <w:sz w:val="20"/>
          <w:szCs w:val="20"/>
          <w:u w:val="single"/>
          <w:lang w:eastAsia="sl-SI"/>
        </w:rPr>
        <w:t xml:space="preserve"> kisline v živilih</w:t>
      </w:r>
    </w:p>
    <w:p w:rsidR="00AE75C7" w:rsidRPr="00AC1487" w:rsidRDefault="00AE75C7" w:rsidP="00AE75C7">
      <w:pPr>
        <w:rPr>
          <w:rFonts w:ascii="Arial" w:eastAsia="Times New Roman" w:hAnsi="Arial" w:cs="Arial"/>
          <w:b/>
          <w:color w:val="000000"/>
          <w:sz w:val="20"/>
          <w:szCs w:val="20"/>
          <w:lang w:eastAsia="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8"/>
        <w:gridCol w:w="2388"/>
        <w:gridCol w:w="2141"/>
      </w:tblGrid>
      <w:tr w:rsidR="00AE75C7" w:rsidRPr="00AC1487" w:rsidTr="00057599">
        <w:trPr>
          <w:trHeight w:val="456"/>
        </w:trPr>
        <w:tc>
          <w:tcPr>
            <w:tcW w:w="9498" w:type="dxa"/>
            <w:gridSpan w:val="4"/>
            <w:shd w:val="clear" w:color="auto" w:fill="auto"/>
            <w:vAlign w:val="center"/>
          </w:tcPr>
          <w:p w:rsidR="00AE75C7" w:rsidRPr="00AC1487" w:rsidRDefault="00AE75C7" w:rsidP="00057599">
            <w:pPr>
              <w:jc w:val="center"/>
              <w:rPr>
                <w:rFonts w:ascii="Arial" w:eastAsia="Times New Roman" w:hAnsi="Arial" w:cs="Arial"/>
                <w:b/>
                <w:color w:val="000000"/>
                <w:sz w:val="20"/>
                <w:szCs w:val="20"/>
                <w:lang w:eastAsia="sl-SI"/>
              </w:rPr>
            </w:pPr>
            <w:r w:rsidRPr="00AC1487">
              <w:rPr>
                <w:rFonts w:ascii="Arial" w:eastAsia="Times New Roman" w:hAnsi="Arial" w:cs="Arial"/>
                <w:b/>
                <w:color w:val="000000"/>
                <w:sz w:val="20"/>
                <w:szCs w:val="20"/>
                <w:lang w:eastAsia="sl-SI"/>
              </w:rPr>
              <w:t>Prisotni  na usposabljanju</w:t>
            </w: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18"/>
                <w:szCs w:val="18"/>
                <w:lang w:eastAsia="sl-SI"/>
              </w:rPr>
            </w:pPr>
            <w:proofErr w:type="spellStart"/>
            <w:r w:rsidRPr="00AC1487">
              <w:rPr>
                <w:rFonts w:ascii="Arial" w:eastAsia="Times New Roman" w:hAnsi="Arial" w:cs="Arial"/>
                <w:color w:val="000000"/>
                <w:sz w:val="18"/>
                <w:szCs w:val="18"/>
                <w:lang w:eastAsia="sl-SI"/>
              </w:rPr>
              <w:t>Zap.št</w:t>
            </w:r>
            <w:proofErr w:type="spellEnd"/>
            <w:r w:rsidRPr="00AC1487">
              <w:rPr>
                <w:rFonts w:ascii="Arial" w:eastAsia="Times New Roman" w:hAnsi="Arial" w:cs="Arial"/>
                <w:color w:val="000000"/>
                <w:sz w:val="18"/>
                <w:szCs w:val="18"/>
                <w:lang w:eastAsia="sl-SI"/>
              </w:rPr>
              <w:t>.:</w:t>
            </w: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r w:rsidRPr="00AC1487">
              <w:rPr>
                <w:rFonts w:ascii="Arial" w:eastAsia="Times New Roman" w:hAnsi="Arial" w:cs="Arial"/>
                <w:b/>
                <w:color w:val="000000"/>
                <w:sz w:val="20"/>
                <w:szCs w:val="20"/>
                <w:lang w:eastAsia="sl-SI"/>
              </w:rPr>
              <w:t>Ime, priimek</w:t>
            </w: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r w:rsidRPr="00AC1487">
              <w:rPr>
                <w:rFonts w:ascii="Arial" w:eastAsia="Times New Roman" w:hAnsi="Arial" w:cs="Arial"/>
                <w:b/>
                <w:color w:val="000000"/>
                <w:sz w:val="20"/>
                <w:szCs w:val="20"/>
                <w:lang w:eastAsia="sl-SI"/>
              </w:rPr>
              <w:t>Delovno mesto</w:t>
            </w: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r w:rsidRPr="00AC1487">
              <w:rPr>
                <w:rFonts w:ascii="Arial" w:eastAsia="Times New Roman" w:hAnsi="Arial" w:cs="Arial"/>
                <w:b/>
                <w:color w:val="000000"/>
                <w:sz w:val="20"/>
                <w:szCs w:val="20"/>
                <w:lang w:eastAsia="sl-SI"/>
              </w:rPr>
              <w:t>Podpis</w:t>
            </w: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r w:rsidR="00AE75C7" w:rsidRPr="00AC1487" w:rsidTr="00057599">
        <w:trPr>
          <w:trHeight w:val="456"/>
        </w:trPr>
        <w:tc>
          <w:tcPr>
            <w:tcW w:w="85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411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388"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c>
          <w:tcPr>
            <w:tcW w:w="2141" w:type="dxa"/>
            <w:shd w:val="clear" w:color="auto" w:fill="auto"/>
            <w:vAlign w:val="center"/>
          </w:tcPr>
          <w:p w:rsidR="00AE75C7" w:rsidRPr="00AC1487" w:rsidRDefault="00AE75C7" w:rsidP="00057599">
            <w:pPr>
              <w:jc w:val="center"/>
              <w:rPr>
                <w:rFonts w:ascii="Arial" w:eastAsia="Times New Roman" w:hAnsi="Arial" w:cs="Arial"/>
                <w:color w:val="000000"/>
                <w:sz w:val="20"/>
                <w:szCs w:val="20"/>
                <w:lang w:eastAsia="sl-SI"/>
              </w:rPr>
            </w:pPr>
          </w:p>
        </w:tc>
      </w:tr>
    </w:tbl>
    <w:p w:rsidR="00AE75C7" w:rsidRPr="00AC1487" w:rsidRDefault="00AE75C7" w:rsidP="00AE75C7">
      <w:pPr>
        <w:jc w:val="both"/>
        <w:rPr>
          <w:rFonts w:ascii="Arial" w:eastAsia="Times New Roman" w:hAnsi="Arial" w:cs="Arial"/>
          <w:b/>
          <w:color w:val="000000"/>
          <w:sz w:val="20"/>
          <w:szCs w:val="20"/>
          <w:lang w:eastAsia="sl-SI"/>
        </w:rPr>
      </w:pPr>
      <w:r w:rsidRPr="00AC1487">
        <w:rPr>
          <w:rFonts w:ascii="Arial" w:eastAsia="Times New Roman" w:hAnsi="Arial" w:cs="Arial"/>
          <w:b/>
          <w:color w:val="000000"/>
          <w:sz w:val="20"/>
          <w:szCs w:val="20"/>
          <w:lang w:eastAsia="sl-SI"/>
        </w:rPr>
        <w:t>Podpisani delavci potrjujejo, da so seznanjeni s vsebino usposabljanja.</w:t>
      </w:r>
    </w:p>
    <w:p w:rsidR="00AE75C7" w:rsidRPr="00AC1487" w:rsidRDefault="00AE75C7" w:rsidP="00AE75C7">
      <w:pPr>
        <w:jc w:val="both"/>
        <w:rPr>
          <w:rFonts w:ascii="Arial" w:eastAsia="Times New Roman" w:hAnsi="Arial" w:cs="Arial"/>
          <w:b/>
          <w:color w:val="000000"/>
          <w:sz w:val="20"/>
          <w:szCs w:val="20"/>
          <w:u w:val="single"/>
          <w:lang w:eastAsia="sl-SI"/>
        </w:rPr>
      </w:pPr>
    </w:p>
    <w:p w:rsidR="00AE75C7" w:rsidRPr="00AC1487" w:rsidRDefault="00AE75C7" w:rsidP="00AE75C7">
      <w:pPr>
        <w:jc w:val="both"/>
        <w:rPr>
          <w:rFonts w:ascii="Arial" w:eastAsia="Times New Roman" w:hAnsi="Arial" w:cs="Arial"/>
          <w:b/>
          <w:color w:val="000000"/>
          <w:sz w:val="20"/>
          <w:szCs w:val="20"/>
          <w:u w:val="single"/>
          <w:lang w:eastAsia="sl-SI"/>
        </w:rPr>
      </w:pPr>
      <w:r w:rsidRPr="00AC1487">
        <w:rPr>
          <w:rFonts w:ascii="Arial" w:eastAsia="Times New Roman" w:hAnsi="Arial" w:cs="Arial"/>
          <w:b/>
          <w:color w:val="000000"/>
          <w:sz w:val="20"/>
          <w:szCs w:val="20"/>
          <w:u w:val="single"/>
          <w:lang w:eastAsia="sl-SI"/>
        </w:rPr>
        <w:t>Vsebina:</w:t>
      </w:r>
    </w:p>
    <w:p w:rsidR="00AE75C7" w:rsidRPr="00AC1487" w:rsidRDefault="00AE75C7" w:rsidP="00AE75C7">
      <w:pPr>
        <w:rPr>
          <w:rFonts w:ascii="Arial" w:eastAsia="Times New Roman" w:hAnsi="Arial" w:cs="Arial"/>
          <w:b/>
          <w:sz w:val="20"/>
          <w:szCs w:val="20"/>
          <w:lang w:eastAsia="sl-SI"/>
        </w:rPr>
      </w:pPr>
    </w:p>
    <w:p w:rsidR="00AE75C7" w:rsidRPr="00AC1487" w:rsidRDefault="00AE75C7" w:rsidP="00AE75C7">
      <w:pPr>
        <w:numPr>
          <w:ilvl w:val="0"/>
          <w:numId w:val="5"/>
        </w:numPr>
        <w:contextualSpacing/>
        <w:rPr>
          <w:rFonts w:ascii="Arial" w:eastAsia="Times New Roman" w:hAnsi="Arial" w:cs="Arial"/>
          <w:b/>
          <w:sz w:val="20"/>
          <w:szCs w:val="20"/>
          <w:lang w:eastAsia="sl-SI"/>
        </w:rPr>
      </w:pPr>
      <w:r w:rsidRPr="00AC1487">
        <w:rPr>
          <w:rFonts w:ascii="Arial" w:eastAsia="Times New Roman" w:hAnsi="Arial" w:cs="Arial"/>
          <w:b/>
          <w:sz w:val="20"/>
          <w:szCs w:val="20"/>
          <w:lang w:eastAsia="sl-SI"/>
        </w:rPr>
        <w:t>VSEBNOST TRANSMAŠČOBNIH KISLIN V ŽIVILIH</w:t>
      </w:r>
    </w:p>
    <w:p w:rsidR="00AE75C7" w:rsidRPr="00AC1487" w:rsidRDefault="00AE75C7" w:rsidP="00AE75C7">
      <w:pPr>
        <w:rPr>
          <w:rFonts w:ascii="Arial" w:eastAsia="Times New Roman" w:hAnsi="Arial" w:cs="Arial"/>
          <w:b/>
          <w:sz w:val="20"/>
          <w:szCs w:val="20"/>
          <w:lang w:eastAsia="sl-SI"/>
        </w:rPr>
      </w:pPr>
    </w:p>
    <w:p w:rsidR="00AE75C7" w:rsidRPr="00AC1487" w:rsidRDefault="00AE75C7" w:rsidP="00AE75C7">
      <w:pPr>
        <w:numPr>
          <w:ilvl w:val="0"/>
          <w:numId w:val="5"/>
        </w:numPr>
        <w:contextualSpacing/>
        <w:rPr>
          <w:rFonts w:ascii="Arial" w:eastAsia="Times New Roman" w:hAnsi="Arial" w:cs="Arial"/>
          <w:b/>
          <w:sz w:val="20"/>
          <w:szCs w:val="20"/>
          <w:lang w:eastAsia="sl-SI"/>
        </w:rPr>
      </w:pPr>
      <w:r w:rsidRPr="00AC1487">
        <w:rPr>
          <w:rFonts w:ascii="Arial" w:eastAsia="Times New Roman" w:hAnsi="Arial" w:cs="Arial"/>
          <w:b/>
          <w:color w:val="000000"/>
          <w:sz w:val="20"/>
          <w:szCs w:val="20"/>
          <w:lang w:eastAsia="sl-SI"/>
        </w:rPr>
        <w:t xml:space="preserve">PRIPOROČILA ZA GOSTINSTVO IN PRIMERI DOBRE PRAKSE: </w:t>
      </w:r>
    </w:p>
    <w:p w:rsidR="00AE75C7" w:rsidRPr="00AC1487" w:rsidRDefault="00AE75C7" w:rsidP="00AE75C7">
      <w:pPr>
        <w:numPr>
          <w:ilvl w:val="0"/>
          <w:numId w:val="6"/>
        </w:numPr>
        <w:contextualSpacing/>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 xml:space="preserve">Zamenjamo sestavine, ki vsebujejo delno hidrogenirane rastlinske maščobe, z drugimi sestavinami. </w:t>
      </w:r>
    </w:p>
    <w:p w:rsidR="00AE75C7" w:rsidRPr="00AC1487" w:rsidRDefault="00AE75C7" w:rsidP="00AE75C7">
      <w:pPr>
        <w:numPr>
          <w:ilvl w:val="0"/>
          <w:numId w:val="6"/>
        </w:numPr>
        <w:contextualSpacing/>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 xml:space="preserve">Priporoča se izbira dostopnih kakovostnih virov nenasičenih maščob, kot so npr. repično, sojino, sončnično in oljčno olje. </w:t>
      </w:r>
    </w:p>
    <w:p w:rsidR="00AE75C7" w:rsidRPr="00AC1487" w:rsidRDefault="00AE75C7" w:rsidP="00AE75C7">
      <w:pPr>
        <w:numPr>
          <w:ilvl w:val="0"/>
          <w:numId w:val="6"/>
        </w:numPr>
        <w:contextualSpacing/>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 xml:space="preserve">Maščobo dodajamo hrani tik pred serviranjem in je ne pregrevamo dalj časa ali celo večkrat. </w:t>
      </w:r>
    </w:p>
    <w:p w:rsidR="00AE75C7" w:rsidRPr="00AC1487" w:rsidRDefault="00AE75C7" w:rsidP="00AE75C7">
      <w:pPr>
        <w:numPr>
          <w:ilvl w:val="0"/>
          <w:numId w:val="6"/>
        </w:numPr>
        <w:contextualSpacing/>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Namesto cvrtja se, tam kjer je to možno, poslužujte alternativnih postopkov toplotne obdelave (npr. dušenje ali pečenje na žaru).</w:t>
      </w:r>
    </w:p>
    <w:p w:rsidR="00AE75C7" w:rsidRPr="00AC1487" w:rsidRDefault="00AE75C7" w:rsidP="00AE75C7">
      <w:pPr>
        <w:numPr>
          <w:ilvl w:val="0"/>
          <w:numId w:val="6"/>
        </w:numPr>
        <w:contextualSpacing/>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 xml:space="preserve">V primeru, da kupite sestavine, ki vsebujejo delno hidrogenirane rastlinske maščobe izven Slovenije, predhodno preglejte deklaracije živil glede njihove vsebnosti. V kolikor so omenjen sestavine (izdelki) že pri vas, jih izločite iz prometa oz. zavrzite. </w:t>
      </w:r>
    </w:p>
    <w:p w:rsidR="00AE75C7" w:rsidRPr="00AC1487" w:rsidRDefault="00AE75C7" w:rsidP="00AE75C7">
      <w:pPr>
        <w:spacing w:line="360" w:lineRule="auto"/>
        <w:jc w:val="both"/>
        <w:rPr>
          <w:rFonts w:ascii="Arial" w:eastAsia="Times New Roman" w:hAnsi="Arial" w:cs="Arial"/>
          <w:color w:val="000000"/>
          <w:sz w:val="20"/>
          <w:szCs w:val="20"/>
          <w:lang w:eastAsia="sl-SI"/>
        </w:rPr>
      </w:pPr>
    </w:p>
    <w:p w:rsidR="00AE75C7" w:rsidRPr="00AC1487" w:rsidRDefault="00AE75C7" w:rsidP="00AE75C7">
      <w:pPr>
        <w:spacing w:line="360" w:lineRule="auto"/>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Odgovorna oseba za usposabljanje delavcev:_____________________________________________</w:t>
      </w:r>
    </w:p>
    <w:p w:rsidR="00AE75C7" w:rsidRPr="00AC1487" w:rsidRDefault="00AE75C7" w:rsidP="00AE75C7">
      <w:pPr>
        <w:spacing w:line="360" w:lineRule="auto"/>
        <w:jc w:val="both"/>
        <w:rPr>
          <w:rFonts w:ascii="Arial" w:eastAsia="Times New Roman" w:hAnsi="Arial" w:cs="Arial"/>
          <w:color w:val="000000"/>
          <w:sz w:val="20"/>
          <w:szCs w:val="20"/>
          <w:lang w:eastAsia="sl-SI"/>
        </w:rPr>
      </w:pPr>
    </w:p>
    <w:p w:rsidR="00AE75C7" w:rsidRPr="00AC1487" w:rsidRDefault="00AE75C7" w:rsidP="00AE75C7">
      <w:pPr>
        <w:spacing w:line="360" w:lineRule="auto"/>
        <w:jc w:val="both"/>
        <w:rPr>
          <w:rFonts w:ascii="Arial" w:eastAsia="Times New Roman" w:hAnsi="Arial" w:cs="Arial"/>
          <w:color w:val="000000"/>
          <w:sz w:val="20"/>
          <w:szCs w:val="20"/>
          <w:lang w:eastAsia="sl-SI"/>
        </w:rPr>
      </w:pPr>
      <w:r w:rsidRPr="00AC1487">
        <w:rPr>
          <w:rFonts w:ascii="Arial" w:eastAsia="Times New Roman" w:hAnsi="Arial" w:cs="Arial"/>
          <w:color w:val="000000"/>
          <w:sz w:val="20"/>
          <w:szCs w:val="20"/>
          <w:lang w:eastAsia="sl-SI"/>
        </w:rPr>
        <w:t xml:space="preserve">Datum:________________________                  </w:t>
      </w:r>
    </w:p>
    <w:p w:rsidR="00AE75C7" w:rsidRPr="00AC1487" w:rsidRDefault="00AE75C7" w:rsidP="00AE75C7">
      <w:pPr>
        <w:spacing w:line="360" w:lineRule="auto"/>
        <w:jc w:val="both"/>
        <w:rPr>
          <w:rFonts w:ascii="Arial" w:eastAsia="Times New Roman" w:hAnsi="Arial" w:cs="Arial"/>
          <w:color w:val="000000"/>
          <w:sz w:val="20"/>
          <w:szCs w:val="20"/>
          <w:lang w:eastAsia="sl-SI"/>
        </w:rPr>
      </w:pPr>
    </w:p>
    <w:p w:rsidR="00AE75C7" w:rsidRPr="00AC1487" w:rsidRDefault="00AE75C7" w:rsidP="00AE75C7">
      <w:pPr>
        <w:spacing w:line="360" w:lineRule="auto"/>
        <w:jc w:val="both"/>
        <w:rPr>
          <w:rFonts w:ascii="Times New Roman" w:eastAsia="Times New Roman" w:hAnsi="Times New Roman" w:cs="Times New Roman"/>
          <w:sz w:val="24"/>
          <w:szCs w:val="24"/>
          <w:lang w:eastAsia="sl-SI"/>
        </w:rPr>
      </w:pPr>
      <w:r w:rsidRPr="00AC1487">
        <w:rPr>
          <w:rFonts w:ascii="Arial" w:eastAsia="Times New Roman" w:hAnsi="Arial" w:cs="Arial"/>
          <w:color w:val="000000"/>
          <w:sz w:val="20"/>
          <w:szCs w:val="20"/>
          <w:lang w:eastAsia="sl-SI"/>
        </w:rPr>
        <w:t>Opombe:____________________________________________________________________________________________________________________________________________________________________________________________________________________________________________</w:t>
      </w:r>
    </w:p>
    <w:p w:rsidR="00AE75C7" w:rsidRPr="00A21C42" w:rsidRDefault="00AE75C7" w:rsidP="00AE75C7">
      <w:pPr>
        <w:rPr>
          <w:rFonts w:ascii="Tahoma" w:hAnsi="Tahoma" w:cs="Tahoma"/>
        </w:rPr>
      </w:pPr>
    </w:p>
    <w:p w:rsidR="00AE75C7" w:rsidRDefault="00AE75C7"/>
    <w:sectPr w:rsidR="00AE75C7" w:rsidSect="00AE75C7">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BF3"/>
    <w:multiLevelType w:val="hybridMultilevel"/>
    <w:tmpl w:val="DD98A29A"/>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7374D34"/>
    <w:multiLevelType w:val="hybridMultilevel"/>
    <w:tmpl w:val="21E6FB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BD0589"/>
    <w:multiLevelType w:val="hybridMultilevel"/>
    <w:tmpl w:val="2780A81A"/>
    <w:lvl w:ilvl="0" w:tplc="4294820C">
      <w:start w:val="1"/>
      <w:numFmt w:val="bullet"/>
      <w:lvlText w:val="­"/>
      <w:lvlJc w:val="left"/>
      <w:pPr>
        <w:ind w:left="1080" w:hanging="360"/>
      </w:pPr>
      <w:rPr>
        <w:rFonts w:ascii="Arial" w:eastAsia="Arial" w:hAnsi="Arial" w:hint="default"/>
        <w:w w:val="99"/>
        <w:position w:val="1"/>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631D0F5F"/>
    <w:multiLevelType w:val="hybridMultilevel"/>
    <w:tmpl w:val="17EC2F82"/>
    <w:lvl w:ilvl="0" w:tplc="23583872">
      <w:start w:val="1"/>
      <w:numFmt w:val="decimal"/>
      <w:lvlText w:val="%1"/>
      <w:lvlJc w:val="center"/>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71175D99"/>
    <w:multiLevelType w:val="hybridMultilevel"/>
    <w:tmpl w:val="60A05F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98C3833"/>
    <w:multiLevelType w:val="hybridMultilevel"/>
    <w:tmpl w:val="78D047A4"/>
    <w:lvl w:ilvl="0" w:tplc="23583872">
      <w:start w:val="1"/>
      <w:numFmt w:val="decimal"/>
      <w:lvlText w:val="%1"/>
      <w:lvlJc w:val="center"/>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C7"/>
    <w:rsid w:val="002A4160"/>
    <w:rsid w:val="003B0AA5"/>
    <w:rsid w:val="009E017F"/>
    <w:rsid w:val="00AE75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412"/>
  <w15:chartTrackingRefBased/>
  <w15:docId w15:val="{9D7B51AC-79A4-4DE9-A925-7D575385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75C7"/>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E75C7"/>
    <w:pPr>
      <w:spacing w:after="200" w:line="276" w:lineRule="auto"/>
      <w:ind w:left="720"/>
    </w:pPr>
    <w:rPr>
      <w:lang w:eastAsia="sl-SI"/>
    </w:rPr>
  </w:style>
  <w:style w:type="paragraph" w:customStyle="1" w:styleId="m-2267029116199746463m-5501535291661972549msolistparagraph">
    <w:name w:val="m_-2267029116199746463m_-5501535291661972549msolistparagraph"/>
    <w:basedOn w:val="Navaden"/>
    <w:rsid w:val="00AE75C7"/>
    <w:pPr>
      <w:spacing w:before="100" w:beforeAutospacing="1" w:after="100" w:afterAutospacing="1"/>
    </w:pPr>
    <w:rPr>
      <w:rFonts w:ascii="Times New Roman" w:hAnsi="Times New Roman" w:cs="Times New Roman"/>
      <w:sz w:val="24"/>
      <w:szCs w:val="24"/>
      <w:lang w:eastAsia="sl-SI"/>
    </w:rPr>
  </w:style>
  <w:style w:type="paragraph" w:styleId="Brezrazmikov">
    <w:name w:val="No Spacing"/>
    <w:uiPriority w:val="1"/>
    <w:qFormat/>
    <w:rsid w:val="00AE75C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4491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Podgornik</dc:creator>
  <cp:keywords/>
  <dc:description/>
  <cp:lastModifiedBy>Ivica Podgornik</cp:lastModifiedBy>
  <cp:revision>1</cp:revision>
  <dcterms:created xsi:type="dcterms:W3CDTF">2019-04-12T10:09:00Z</dcterms:created>
  <dcterms:modified xsi:type="dcterms:W3CDTF">2019-04-12T10:14:00Z</dcterms:modified>
</cp:coreProperties>
</file>