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BE3" w:rsidRDefault="00E06BE3" w:rsidP="00E06BE3">
      <w:pPr>
        <w:jc w:val="both"/>
        <w:rPr>
          <w:rStyle w:val="Hiperpovezava"/>
          <w:rFonts w:ascii="Tahoma" w:hAnsi="Tahoma" w:cs="Tahoma"/>
          <w:color w:val="auto"/>
        </w:rPr>
      </w:pPr>
    </w:p>
    <w:p w:rsidR="00E06BE3" w:rsidRDefault="00E06BE3" w:rsidP="00E06BE3">
      <w:pPr>
        <w:jc w:val="both"/>
        <w:rPr>
          <w:rStyle w:val="Hiperpovezava"/>
          <w:rFonts w:ascii="Tahoma" w:hAnsi="Tahoma" w:cs="Tahoma"/>
          <w:color w:val="auto"/>
        </w:rPr>
      </w:pPr>
    </w:p>
    <w:p w:rsidR="00E06BE3" w:rsidRPr="00E06BE3" w:rsidRDefault="00E06BE3" w:rsidP="00E06BE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8"/>
          <w:szCs w:val="28"/>
        </w:rPr>
      </w:pPr>
      <w:r w:rsidRPr="00E06BE3">
        <w:rPr>
          <w:rFonts w:ascii="Tahoma" w:hAnsi="Tahoma" w:cs="Tahoma"/>
          <w:b/>
          <w:sz w:val="28"/>
          <w:szCs w:val="28"/>
        </w:rPr>
        <w:t>AKRIAMID – NAVODILA ZA GOSTINCE</w:t>
      </w:r>
    </w:p>
    <w:p w:rsidR="00E06BE3" w:rsidRDefault="00E06BE3" w:rsidP="00E06BE3">
      <w:pPr>
        <w:jc w:val="both"/>
        <w:rPr>
          <w:rStyle w:val="Hiperpovezava"/>
          <w:rFonts w:ascii="Tahoma" w:hAnsi="Tahoma" w:cs="Tahoma"/>
          <w:color w:val="auto"/>
        </w:rPr>
      </w:pPr>
    </w:p>
    <w:p w:rsidR="00E06BE3" w:rsidRDefault="00E06BE3" w:rsidP="00E06BE3">
      <w:pPr>
        <w:jc w:val="both"/>
        <w:rPr>
          <w:rStyle w:val="Hiperpovezava"/>
          <w:rFonts w:ascii="Tahoma" w:hAnsi="Tahoma" w:cs="Tahoma"/>
          <w:color w:val="auto"/>
        </w:rPr>
      </w:pPr>
    </w:p>
    <w:p w:rsidR="00E06BE3" w:rsidRPr="00AC1487" w:rsidRDefault="00E06BE3" w:rsidP="00E06BE3">
      <w:pPr>
        <w:jc w:val="both"/>
        <w:rPr>
          <w:rFonts w:ascii="Tahoma" w:hAnsi="Tahoma" w:cs="Tahoma"/>
          <w:sz w:val="20"/>
          <w:szCs w:val="20"/>
        </w:rPr>
      </w:pPr>
      <w:hyperlink r:id="rId7" w:history="1">
        <w:r w:rsidRPr="00AC1487">
          <w:rPr>
            <w:rStyle w:val="Hiperpovezava"/>
            <w:rFonts w:ascii="Tahoma" w:hAnsi="Tahoma" w:cs="Tahoma"/>
            <w:color w:val="auto"/>
          </w:rPr>
          <w:t xml:space="preserve">Uredba (ES) 2017/2158 o blažilnih ukrepih in referenčnih ravneh za zmanjšanje prisotnosti </w:t>
        </w:r>
        <w:proofErr w:type="spellStart"/>
        <w:r w:rsidRPr="00AC1487">
          <w:rPr>
            <w:rStyle w:val="Hiperpovezava"/>
            <w:rFonts w:ascii="Tahoma" w:hAnsi="Tahoma" w:cs="Tahoma"/>
            <w:color w:val="auto"/>
          </w:rPr>
          <w:t>akrilamida</w:t>
        </w:r>
        <w:proofErr w:type="spellEnd"/>
      </w:hyperlink>
      <w:r w:rsidRPr="00AC1487">
        <w:rPr>
          <w:rFonts w:ascii="Tahoma" w:hAnsi="Tahoma" w:cs="Tahoma"/>
        </w:rPr>
        <w:t xml:space="preserve"> v živilih nosilcem živilske dejavnosti, ki proizvajajo proizvode iz krompirja ter proizvajajo kruh in fine pekovske izdelke nalaga </w:t>
      </w:r>
      <w:r w:rsidRPr="00AC1487">
        <w:rPr>
          <w:rFonts w:ascii="Tahoma" w:hAnsi="Tahoma" w:cs="Tahoma"/>
          <w:b/>
          <w:bCs/>
        </w:rPr>
        <w:t>uporabo blažilnih ukrepov</w:t>
      </w:r>
      <w:r w:rsidRPr="00AC1487">
        <w:rPr>
          <w:rFonts w:ascii="Tahoma" w:hAnsi="Tahoma" w:cs="Tahoma"/>
        </w:rPr>
        <w:t xml:space="preserve"> (ukrepi iz dela A Priloge II). Uredba je v veljavi od 11.4.2018 dalje.</w:t>
      </w:r>
    </w:p>
    <w:p w:rsidR="00E06BE3" w:rsidRPr="00AC1487" w:rsidRDefault="00E06BE3" w:rsidP="00E06BE3">
      <w:pPr>
        <w:rPr>
          <w:rFonts w:ascii="Tahoma" w:hAnsi="Tahoma" w:cs="Tahoma"/>
          <w:b/>
          <w:bCs/>
        </w:rPr>
      </w:pPr>
    </w:p>
    <w:p w:rsidR="00E06BE3" w:rsidRPr="00AC1487" w:rsidRDefault="00E06BE3" w:rsidP="00E06BE3">
      <w:pPr>
        <w:rPr>
          <w:rFonts w:ascii="Tahoma" w:hAnsi="Tahoma" w:cs="Tahoma"/>
        </w:rPr>
      </w:pPr>
      <w:r w:rsidRPr="00AC1487">
        <w:rPr>
          <w:rFonts w:ascii="Tahoma" w:hAnsi="Tahoma" w:cs="Tahoma"/>
          <w:b/>
          <w:bCs/>
        </w:rPr>
        <w:t xml:space="preserve">Kaj je </w:t>
      </w:r>
      <w:proofErr w:type="spellStart"/>
      <w:r w:rsidRPr="00AC1487">
        <w:rPr>
          <w:rFonts w:ascii="Tahoma" w:hAnsi="Tahoma" w:cs="Tahoma"/>
          <w:b/>
          <w:bCs/>
        </w:rPr>
        <w:t>akrilamid</w:t>
      </w:r>
      <w:proofErr w:type="spellEnd"/>
      <w:r w:rsidRPr="00AC1487">
        <w:rPr>
          <w:rFonts w:ascii="Tahoma" w:hAnsi="Tahoma" w:cs="Tahoma"/>
          <w:b/>
          <w:bCs/>
        </w:rPr>
        <w:t xml:space="preserve">? </w:t>
      </w:r>
    </w:p>
    <w:p w:rsidR="00E06BE3" w:rsidRPr="00AC1487" w:rsidRDefault="00E06BE3" w:rsidP="00E06BE3">
      <w:pPr>
        <w:jc w:val="both"/>
        <w:rPr>
          <w:rFonts w:ascii="Tahoma" w:hAnsi="Tahoma" w:cs="Tahoma"/>
        </w:rPr>
      </w:pPr>
      <w:proofErr w:type="spellStart"/>
      <w:r w:rsidRPr="00AC1487">
        <w:rPr>
          <w:rFonts w:ascii="Tahoma" w:hAnsi="Tahoma" w:cs="Tahoma"/>
        </w:rPr>
        <w:t>Akrilamid</w:t>
      </w:r>
      <w:proofErr w:type="spellEnd"/>
      <w:r w:rsidRPr="00AC1487">
        <w:rPr>
          <w:rFonts w:ascii="Tahoma" w:hAnsi="Tahoma" w:cs="Tahoma"/>
        </w:rPr>
        <w:t xml:space="preserve"> nastaja iz v nekaterih živilih naravno prisotnih sestavin (asparagin, glukoza, fruktoza) kot stranski produkt, kadar se ta živila pripravljajo pri temperaturah višjih od 120 °C in pri nizki vsebnosti vlage. Večinoma nastaja v pečenih ali ocvrtih živilih z visoko vsebnostjo ogljikovih hidratov (npr. pečen, pražen krompir, pomfrit, toast, kruh) Proces nastajanja se začne, ko se živilo zlatorumeno zapeče. Čim bolj je barva </w:t>
      </w:r>
      <w:proofErr w:type="spellStart"/>
      <w:r w:rsidRPr="00AC1487">
        <w:rPr>
          <w:rFonts w:ascii="Tahoma" w:hAnsi="Tahoma" w:cs="Tahoma"/>
        </w:rPr>
        <w:t>zapečenja</w:t>
      </w:r>
      <w:proofErr w:type="spellEnd"/>
      <w:r w:rsidRPr="00AC1487">
        <w:rPr>
          <w:rFonts w:ascii="Tahoma" w:hAnsi="Tahoma" w:cs="Tahoma"/>
        </w:rPr>
        <w:t xml:space="preserve"> intenzivna, tem več </w:t>
      </w:r>
      <w:proofErr w:type="spellStart"/>
      <w:r w:rsidRPr="00AC1487">
        <w:rPr>
          <w:rFonts w:ascii="Tahoma" w:hAnsi="Tahoma" w:cs="Tahoma"/>
        </w:rPr>
        <w:t>akrilamida</w:t>
      </w:r>
      <w:proofErr w:type="spellEnd"/>
      <w:r w:rsidRPr="00AC1487">
        <w:rPr>
          <w:rFonts w:ascii="Tahoma" w:hAnsi="Tahoma" w:cs="Tahoma"/>
        </w:rPr>
        <w:t xml:space="preserve"> je prisotnega v živilu. V surovih živilih in kuhanih živilih </w:t>
      </w:r>
      <w:proofErr w:type="spellStart"/>
      <w:r w:rsidRPr="00AC1487">
        <w:rPr>
          <w:rFonts w:ascii="Tahoma" w:hAnsi="Tahoma" w:cs="Tahoma"/>
        </w:rPr>
        <w:t>akrilamid</w:t>
      </w:r>
      <w:proofErr w:type="spellEnd"/>
      <w:r w:rsidRPr="00AC1487">
        <w:rPr>
          <w:rFonts w:ascii="Tahoma" w:hAnsi="Tahoma" w:cs="Tahoma"/>
        </w:rPr>
        <w:t xml:space="preserve"> ne nastaja.</w:t>
      </w:r>
    </w:p>
    <w:p w:rsidR="00E06BE3" w:rsidRPr="00AC1487" w:rsidRDefault="00E06BE3" w:rsidP="00E06BE3">
      <w:pPr>
        <w:jc w:val="both"/>
        <w:rPr>
          <w:rFonts w:ascii="Tahoma" w:hAnsi="Tahoma" w:cs="Tahoma"/>
        </w:rPr>
      </w:pPr>
    </w:p>
    <w:p w:rsidR="00E06BE3" w:rsidRPr="00AC1487" w:rsidRDefault="00E06BE3" w:rsidP="00E06BE3">
      <w:pPr>
        <w:rPr>
          <w:rFonts w:ascii="Tahoma" w:hAnsi="Tahoma" w:cs="Tahoma"/>
        </w:rPr>
      </w:pPr>
      <w:r w:rsidRPr="00AC1487">
        <w:rPr>
          <w:rFonts w:ascii="Tahoma" w:hAnsi="Tahoma" w:cs="Tahoma"/>
          <w:b/>
          <w:bCs/>
        </w:rPr>
        <w:t>Kaj moramo vedeti?</w:t>
      </w:r>
    </w:p>
    <w:p w:rsidR="00E06BE3" w:rsidRPr="00AC1487" w:rsidRDefault="00E06BE3" w:rsidP="00E06BE3">
      <w:pPr>
        <w:jc w:val="both"/>
        <w:rPr>
          <w:rFonts w:ascii="Tahoma" w:hAnsi="Tahoma" w:cs="Tahoma"/>
        </w:rPr>
      </w:pPr>
      <w:r w:rsidRPr="00AC1487">
        <w:rPr>
          <w:rFonts w:ascii="Tahoma" w:hAnsi="Tahoma" w:cs="Tahoma"/>
        </w:rPr>
        <w:t xml:space="preserve">Inšpektorji Uprave RS za varno hrano opozarjajo na nove obveznosti, zato vam svetujemo, da pričnete z uporabo blažilnih ukrepov in namestite </w:t>
      </w:r>
      <w:r w:rsidRPr="00AC1487">
        <w:rPr>
          <w:rFonts w:ascii="Tahoma" w:hAnsi="Tahoma" w:cs="Tahoma"/>
          <w:b/>
          <w:bCs/>
          <w:u w:val="single"/>
        </w:rPr>
        <w:t>barvne lestvice</w:t>
      </w:r>
      <w:r w:rsidRPr="00AC1487">
        <w:rPr>
          <w:rFonts w:ascii="Tahoma" w:hAnsi="Tahoma" w:cs="Tahoma"/>
        </w:rPr>
        <w:t xml:space="preserve"> (ki jih posredujemo v prilogi) na vidna mesta v prostore, kjer pripravljate živila</w:t>
      </w:r>
      <w:bookmarkStart w:id="0" w:name="_GoBack"/>
      <w:bookmarkEnd w:id="0"/>
      <w:r w:rsidRPr="00AC1487">
        <w:rPr>
          <w:rFonts w:ascii="Tahoma" w:hAnsi="Tahoma" w:cs="Tahoma"/>
        </w:rPr>
        <w:t xml:space="preserve"> in se s tem izognite opozorilom inšpekcije. Svoje zaposlene usposobite in seznanite z novostmi glede </w:t>
      </w:r>
      <w:proofErr w:type="spellStart"/>
      <w:r w:rsidRPr="00AC1487">
        <w:rPr>
          <w:rFonts w:ascii="Tahoma" w:hAnsi="Tahoma" w:cs="Tahoma"/>
        </w:rPr>
        <w:t>akrilamida</w:t>
      </w:r>
      <w:proofErr w:type="spellEnd"/>
      <w:r w:rsidRPr="00AC1487">
        <w:rPr>
          <w:rFonts w:ascii="Tahoma" w:hAnsi="Tahoma" w:cs="Tahoma"/>
        </w:rPr>
        <w:t xml:space="preserve"> po priloženem obrazcu v prilogi. </w:t>
      </w:r>
    </w:p>
    <w:p w:rsidR="00E06BE3" w:rsidRPr="00A21C42" w:rsidRDefault="00E06BE3" w:rsidP="00E06BE3">
      <w:pPr>
        <w:jc w:val="both"/>
        <w:rPr>
          <w:rFonts w:ascii="Tahoma" w:hAnsi="Tahoma" w:cs="Tahoma"/>
        </w:rPr>
      </w:pPr>
    </w:p>
    <w:p w:rsidR="00E06BE3" w:rsidRPr="00AC1487" w:rsidRDefault="00E06BE3" w:rsidP="00E06BE3">
      <w:pPr>
        <w:jc w:val="both"/>
        <w:rPr>
          <w:rFonts w:ascii="Tahoma" w:hAnsi="Tahoma" w:cs="Tahoma"/>
        </w:rPr>
      </w:pPr>
      <w:r w:rsidRPr="00AC1487">
        <w:rPr>
          <w:rFonts w:ascii="Tahoma" w:hAnsi="Tahoma" w:cs="Tahoma"/>
          <w:b/>
          <w:bCs/>
        </w:rPr>
        <w:t xml:space="preserve">NOSILCI DEJAVNOSTI, KI SE PRI NOTRANJEM NADZORU SKLICUJETE NA SMERNICE DOBRE HIGIENSKE PRAKSE ZA GOSTINSTVO </w:t>
      </w:r>
    </w:p>
    <w:p w:rsidR="00E06BE3" w:rsidRPr="00AC1487" w:rsidRDefault="00E06BE3" w:rsidP="00E06BE3">
      <w:pPr>
        <w:pStyle w:val="Odstavekseznama"/>
        <w:numPr>
          <w:ilvl w:val="0"/>
          <w:numId w:val="1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 xml:space="preserve">Uporabljajte blažilne ukrepe, ki so navedeni v dokumentu in so povzeti po uredbi ter so učinkoviti glede na fazo delovnega postopka. </w:t>
      </w:r>
    </w:p>
    <w:p w:rsidR="00E06BE3" w:rsidRPr="00AC1487" w:rsidRDefault="00E06BE3" w:rsidP="00E06BE3">
      <w:pPr>
        <w:pStyle w:val="Odstavekseznama"/>
        <w:numPr>
          <w:ilvl w:val="0"/>
          <w:numId w:val="1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>V prostore, kjer termično obdelujete hrano, na vidno mesto namestite barvno lestvico. Primere vam posredujemo v prilogi.</w:t>
      </w:r>
    </w:p>
    <w:p w:rsidR="00E06BE3" w:rsidRPr="00AC1487" w:rsidRDefault="00E06BE3" w:rsidP="00E06BE3">
      <w:pPr>
        <w:pStyle w:val="Odstavekseznama"/>
        <w:numPr>
          <w:ilvl w:val="0"/>
          <w:numId w:val="1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 xml:space="preserve">Usposobite zaposlene. V prilogi vam posredujemo obrazec z vsebino usposabljanja.  </w:t>
      </w:r>
    </w:p>
    <w:p w:rsidR="00E06BE3" w:rsidRPr="00AC1487" w:rsidRDefault="00E06BE3" w:rsidP="00E06BE3">
      <w:pPr>
        <w:jc w:val="both"/>
        <w:rPr>
          <w:rFonts w:ascii="Tahoma" w:hAnsi="Tahoma" w:cs="Tahoma"/>
        </w:rPr>
      </w:pPr>
      <w:r w:rsidRPr="00AC1487">
        <w:rPr>
          <w:rFonts w:ascii="Tahoma" w:hAnsi="Tahoma" w:cs="Tahoma"/>
          <w:b/>
          <w:bCs/>
        </w:rPr>
        <w:t>NOSILCI DEJAVNOSTI, KI IMATE LASTNE HACCP NAČRTE</w:t>
      </w:r>
    </w:p>
    <w:p w:rsidR="00E06BE3" w:rsidRPr="00AC1487" w:rsidRDefault="00E06BE3" w:rsidP="00E06BE3">
      <w:pPr>
        <w:pStyle w:val="Odstavekseznama"/>
        <w:numPr>
          <w:ilvl w:val="0"/>
          <w:numId w:val="2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 xml:space="preserve">Dopolnite načrt v poglavju »Analiza dejavnikov tveganja«, z </w:t>
      </w:r>
      <w:proofErr w:type="spellStart"/>
      <w:r w:rsidRPr="00AC1487">
        <w:rPr>
          <w:rFonts w:ascii="Tahoma" w:hAnsi="Tahoma" w:cs="Tahoma"/>
          <w:sz w:val="20"/>
          <w:szCs w:val="20"/>
        </w:rPr>
        <w:t>akrilamidov</w:t>
      </w:r>
      <w:proofErr w:type="spellEnd"/>
      <w:r w:rsidRPr="00AC1487">
        <w:rPr>
          <w:rFonts w:ascii="Tahoma" w:hAnsi="Tahoma" w:cs="Tahoma"/>
          <w:sz w:val="20"/>
          <w:szCs w:val="20"/>
        </w:rPr>
        <w:t xml:space="preserve"> pri kemijskem tveganju. </w:t>
      </w:r>
    </w:p>
    <w:p w:rsidR="00E06BE3" w:rsidRPr="00AC1487" w:rsidRDefault="00E06BE3" w:rsidP="00E06BE3">
      <w:pPr>
        <w:pStyle w:val="Odstavekseznama"/>
        <w:numPr>
          <w:ilvl w:val="0"/>
          <w:numId w:val="2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 xml:space="preserve">Uporabljajte blažilne ukrepe, ki so navedeni v dokumentu in so povzeti po uredbi ter so učinkoviti glede na fazo delovnega postopka. </w:t>
      </w:r>
    </w:p>
    <w:p w:rsidR="00E06BE3" w:rsidRPr="00AC1487" w:rsidRDefault="00E06BE3" w:rsidP="00E06BE3">
      <w:pPr>
        <w:pStyle w:val="Odstavekseznama"/>
        <w:numPr>
          <w:ilvl w:val="0"/>
          <w:numId w:val="2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>V prostore, kjer termično obdelujete hrano, na vidno mesto namestite barvno lestvico. Primere vam posredujemo v prilogi</w:t>
      </w:r>
    </w:p>
    <w:p w:rsidR="00E06BE3" w:rsidRPr="00AC1487" w:rsidRDefault="00E06BE3" w:rsidP="00E06BE3">
      <w:pPr>
        <w:pStyle w:val="Odstavekseznama"/>
        <w:numPr>
          <w:ilvl w:val="0"/>
          <w:numId w:val="2"/>
        </w:numPr>
        <w:spacing w:after="160" w:line="252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C1487">
        <w:rPr>
          <w:rFonts w:ascii="Tahoma" w:hAnsi="Tahoma" w:cs="Tahoma"/>
          <w:sz w:val="20"/>
          <w:szCs w:val="20"/>
        </w:rPr>
        <w:t xml:space="preserve">Usposobite zaposlene. V prilogi vam posredujemo obrazec z vsebino usposabljanja.  </w:t>
      </w:r>
    </w:p>
    <w:p w:rsidR="00E97952" w:rsidRDefault="009B443B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/>
    <w:p w:rsidR="00E06BE3" w:rsidRDefault="00E06BE3" w:rsidP="00E06BE3">
      <w:pP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06BE3" w:rsidRDefault="00E06BE3" w:rsidP="00E06BE3">
      <w:pP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727DD" w:rsidRDefault="00E727DD" w:rsidP="00E06BE3">
      <w:pP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06BE3" w:rsidRPr="00E06BE3" w:rsidRDefault="00E06BE3" w:rsidP="00E06BE3">
      <w:pP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lastRenderedPageBreak/>
        <w:t>OBRAZEC ZA EVIDENCO PRISOTNIH NA USPOSABLJANJU ZA DELO Z ŽIVILI</w:t>
      </w:r>
    </w:p>
    <w:p w:rsidR="00E06BE3" w:rsidRPr="00E06BE3" w:rsidRDefault="00E06BE3" w:rsidP="00E06BE3">
      <w:pPr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06BE3" w:rsidRPr="00E06BE3" w:rsidRDefault="00E06BE3" w:rsidP="00E06BE3">
      <w:pPr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Tema usposabljanja: </w:t>
      </w:r>
      <w:proofErr w:type="spellStart"/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Akrilamid</w:t>
      </w:r>
      <w:proofErr w:type="spellEnd"/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živilih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8"/>
        <w:gridCol w:w="2388"/>
        <w:gridCol w:w="2141"/>
      </w:tblGrid>
      <w:tr w:rsidR="00E06BE3" w:rsidRPr="00E06BE3" w:rsidTr="00057599">
        <w:trPr>
          <w:trHeight w:hRule="exact" w:val="340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E06B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Prisotni  na usposabljanju</w:t>
            </w: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E06BE3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Zap.št</w:t>
            </w:r>
            <w:proofErr w:type="spellEnd"/>
            <w:r w:rsidRPr="00E06BE3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.: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06B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Ime, priimek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06B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Delovno mesto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06B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Podpis</w:t>
            </w: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06BE3" w:rsidRPr="00E06BE3" w:rsidTr="00057599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06BE3" w:rsidRPr="00E06BE3" w:rsidRDefault="00E06BE3" w:rsidP="00E06B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06BE3" w:rsidRPr="00E06BE3" w:rsidRDefault="00E06BE3" w:rsidP="00E06BE3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Podpisani delavci potrjujejo, da so seznanjeni s vsebino usposabljanja.</w:t>
      </w:r>
    </w:p>
    <w:p w:rsidR="00E06BE3" w:rsidRPr="00E06BE3" w:rsidRDefault="00E06BE3" w:rsidP="00E06BE3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</w:p>
    <w:p w:rsidR="00E06BE3" w:rsidRPr="00E06BE3" w:rsidRDefault="00E06BE3" w:rsidP="00E06BE3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  <w:r w:rsidRPr="00E06BE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  <w:t>Vsebina:</w:t>
      </w:r>
    </w:p>
    <w:p w:rsidR="00E06BE3" w:rsidRPr="00E06BE3" w:rsidRDefault="00E06BE3" w:rsidP="00E06BE3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06BE3" w:rsidRPr="00E06BE3" w:rsidRDefault="00E06BE3" w:rsidP="00E06BE3">
      <w:pPr>
        <w:numPr>
          <w:ilvl w:val="0"/>
          <w:numId w:val="8"/>
        </w:numPr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b/>
          <w:sz w:val="20"/>
          <w:szCs w:val="20"/>
          <w:lang w:eastAsia="sl-SI"/>
        </w:rPr>
        <w:t>Barvna lestvica priprave živil  in pomen</w:t>
      </w:r>
    </w:p>
    <w:p w:rsidR="00E06BE3" w:rsidRPr="00E06BE3" w:rsidRDefault="00E06BE3" w:rsidP="00E06BE3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06BE3" w:rsidRPr="00E06BE3" w:rsidRDefault="00E06BE3" w:rsidP="00E06BE3">
      <w:pPr>
        <w:numPr>
          <w:ilvl w:val="0"/>
          <w:numId w:val="8"/>
        </w:numPr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Priporočila pri pripravi </w:t>
      </w:r>
      <w:proofErr w:type="spellStart"/>
      <w:r w:rsidRPr="00E06BE3">
        <w:rPr>
          <w:rFonts w:ascii="Arial" w:eastAsia="Times New Roman" w:hAnsi="Arial" w:cs="Arial"/>
          <w:b/>
          <w:sz w:val="20"/>
          <w:szCs w:val="20"/>
          <w:lang w:eastAsia="sl-SI"/>
        </w:rPr>
        <w:t>pomfrija</w:t>
      </w:r>
      <w:proofErr w:type="spellEnd"/>
      <w:r w:rsidRPr="00E06B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in drugih narezanih (ocvrtih) proizvodov iz krompirja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uporaba sorte krompirja z nižjo vsebnostjo sladkorjev, če so na voljo in so skladne z živilom, ki se želi pridobiti. 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krompir skladiščite v temnem in suhem prostoru pri temperaturi višji od 6 °C; nikoli ga ne shranjujte v hladilnici ali hladilniku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pri zamrznjenih proizvodih iz krompirja, upoštevajte navodila za pripravo.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pred postopkom cvrtja surovega pomfrita, kadar je to mogoče in skladno z živilom, ki se želi pridobiti uporabite enega od naslednjih ukrepov:</w:t>
      </w:r>
    </w:p>
    <w:p w:rsidR="00E06BE3" w:rsidRPr="00E06BE3" w:rsidRDefault="00E06BE3" w:rsidP="00E06BE3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pranje in namakanje, po možnosti od 30 minut do dveh ur v hladni vodi; spiranje rezin s čisto vodo pred cvrtjem;</w:t>
      </w:r>
    </w:p>
    <w:p w:rsidR="00E06BE3" w:rsidRPr="00E06BE3" w:rsidRDefault="00E06BE3" w:rsidP="00E06BE3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namakanje nekaj minut v topli vodi; </w:t>
      </w:r>
    </w:p>
    <w:p w:rsidR="00E06BE3" w:rsidRPr="00E06BE3" w:rsidRDefault="00E06BE3" w:rsidP="00E06BE3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spiranje rezin s čisto vodo pred cvrtjem;</w:t>
      </w:r>
    </w:p>
    <w:p w:rsidR="00E06BE3" w:rsidRPr="00E06BE3" w:rsidRDefault="00E06BE3" w:rsidP="00E06BE3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blanširanje krompirja omogoča nižje ravni </w:t>
      </w:r>
      <w:proofErr w:type="spellStart"/>
      <w:r w:rsidRPr="00E06BE3">
        <w:rPr>
          <w:rFonts w:ascii="Arial" w:eastAsia="Times New Roman" w:hAnsi="Arial" w:cs="Arial"/>
          <w:sz w:val="20"/>
          <w:szCs w:val="20"/>
          <w:lang w:eastAsia="sl-SI"/>
        </w:rPr>
        <w:t>akrilamida</w:t>
      </w:r>
      <w:proofErr w:type="spellEnd"/>
      <w:r w:rsidRPr="00E06BE3">
        <w:rPr>
          <w:rFonts w:ascii="Arial" w:eastAsia="Times New Roman" w:hAnsi="Arial" w:cs="Arial"/>
          <w:sz w:val="20"/>
          <w:szCs w:val="20"/>
          <w:lang w:eastAsia="sl-SI"/>
        </w:rPr>
        <w:t>, zato je krompir primerno blanširati, kadar je mogoče;</w:t>
      </w:r>
    </w:p>
    <w:p w:rsidR="00E06BE3" w:rsidRPr="00E06BE3" w:rsidRDefault="00E06BE3" w:rsidP="00E06BE3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Pri cvrtju pomfrita ali drugih proizvodov iz krompirja: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uporabite olja in maščobe za cvrtje, ki omogočajo hitrejše cvrtje in/ali cvrtje pri nižjih temperaturah. </w:t>
      </w:r>
    </w:p>
    <w:p w:rsidR="00E06BE3" w:rsidRPr="00E06BE3" w:rsidRDefault="00E06BE3" w:rsidP="00E06BE3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temperature cvrtja naj bodo kolikor mogoče nizke ob upoštevanju zahtev za varnost hrane oz. pod 175°C;</w:t>
      </w:r>
    </w:p>
    <w:p w:rsidR="00E06BE3" w:rsidRPr="00E06BE3" w:rsidRDefault="00E06BE3" w:rsidP="00E06BE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:rsidR="00E06BE3" w:rsidRPr="00E06BE3" w:rsidRDefault="00E06BE3" w:rsidP="00E06BE3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b/>
          <w:sz w:val="20"/>
          <w:szCs w:val="20"/>
          <w:lang w:eastAsia="sl-SI"/>
        </w:rPr>
        <w:t>Pekam kruha in finega pekovskih izdelkov:</w:t>
      </w:r>
    </w:p>
    <w:p w:rsidR="00E06BE3" w:rsidRPr="00E06BE3" w:rsidRDefault="00E06BE3" w:rsidP="00E06BE3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podaljšajte čas kvasne fermentacije;</w:t>
      </w:r>
    </w:p>
    <w:p w:rsidR="00E06BE3" w:rsidRPr="00E06BE3" w:rsidRDefault="00E06BE3" w:rsidP="00E06BE3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optimizirajte vsebnost vlage v testu za proizvodnjo proizvoda z nizko vsebnost vlage;</w:t>
      </w:r>
    </w:p>
    <w:p w:rsidR="00E06BE3" w:rsidRPr="00E06BE3" w:rsidRDefault="00E06BE3" w:rsidP="00E06BE3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znižajte temperaturo pečenja in podaljšajte čas priprave.</w:t>
      </w:r>
    </w:p>
    <w:p w:rsidR="00E06BE3" w:rsidRPr="00E06BE3" w:rsidRDefault="00E06BE3" w:rsidP="00E06BE3">
      <w:pPr>
        <w:numPr>
          <w:ilvl w:val="0"/>
          <w:numId w:val="6"/>
        </w:numPr>
        <w:spacing w:after="160" w:line="259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proizvode zapecite do svetlejše končne barve, temno zapečene skorje pa naj ne bi bilo (razen v primerih, ko je temna skorja kot posledica sestave ali narave kruha, npr. za izdelke iz rži in polnozrnate moke zmerna </w:t>
      </w:r>
      <w:proofErr w:type="spellStart"/>
      <w:r w:rsidRPr="00E06BE3">
        <w:rPr>
          <w:rFonts w:ascii="Arial" w:eastAsia="Times New Roman" w:hAnsi="Arial" w:cs="Arial"/>
          <w:sz w:val="20"/>
          <w:szCs w:val="20"/>
          <w:lang w:eastAsia="sl-SI"/>
        </w:rPr>
        <w:t>pečenost</w:t>
      </w:r>
      <w:proofErr w:type="spellEnd"/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 ni »zlato rumena«, ker so tovrstna testa po svoji naravi temnejša).</w:t>
      </w:r>
    </w:p>
    <w:p w:rsidR="00E06BE3" w:rsidRPr="00E06BE3" w:rsidRDefault="00E06BE3" w:rsidP="00E06BE3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>Pri pripravi sendvičev zagotovite, da so zapečeni do optimalne barve.</w:t>
      </w:r>
    </w:p>
    <w:p w:rsidR="00E06BE3" w:rsidRPr="00E06BE3" w:rsidRDefault="00E06BE3" w:rsidP="00E06BE3">
      <w:pPr>
        <w:numPr>
          <w:ilvl w:val="0"/>
          <w:numId w:val="7"/>
        </w:numPr>
        <w:spacing w:after="160" w:line="259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pri uporabi vnaprej pripravljenega kruha ali pekovskih izdelkov za </w:t>
      </w:r>
      <w:proofErr w:type="spellStart"/>
      <w:r w:rsidRPr="00E06BE3">
        <w:rPr>
          <w:rFonts w:ascii="Arial" w:eastAsia="Times New Roman" w:hAnsi="Arial" w:cs="Arial"/>
          <w:sz w:val="20"/>
          <w:szCs w:val="20"/>
          <w:lang w:eastAsia="sl-SI"/>
        </w:rPr>
        <w:t>dopeko</w:t>
      </w:r>
      <w:proofErr w:type="spellEnd"/>
      <w:r w:rsidRPr="00E06BE3">
        <w:rPr>
          <w:rFonts w:ascii="Arial" w:eastAsia="Times New Roman" w:hAnsi="Arial" w:cs="Arial"/>
          <w:sz w:val="20"/>
          <w:szCs w:val="20"/>
          <w:lang w:eastAsia="sl-SI"/>
        </w:rPr>
        <w:t xml:space="preserve"> upoštevajte navodila za pripravo.</w:t>
      </w:r>
    </w:p>
    <w:p w:rsidR="00E06BE3" w:rsidRPr="00E06BE3" w:rsidRDefault="00E06BE3" w:rsidP="00E06BE3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Odgovorna oseba za usposabljanje delavcev:</w:t>
      </w:r>
    </w:p>
    <w:p w:rsidR="00E06BE3" w:rsidRPr="00E06BE3" w:rsidRDefault="00E06BE3" w:rsidP="00E06BE3">
      <w:pPr>
        <w:tabs>
          <w:tab w:val="left" w:pos="6225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Datum:                  </w:t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</w:r>
    </w:p>
    <w:p w:rsidR="00E06BE3" w:rsidRPr="00E06BE3" w:rsidRDefault="00E06BE3" w:rsidP="00E06BE3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06BE3" w:rsidRPr="00E06BE3" w:rsidRDefault="00E06BE3" w:rsidP="00E06B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Opombe:_________________________________________________________________________________________________________________________________________________________________________</w:t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</w:r>
      <w:r w:rsidRPr="00E06BE3">
        <w:rPr>
          <w:rFonts w:ascii="Arial" w:eastAsia="Times New Roman" w:hAnsi="Arial" w:cs="Arial"/>
          <w:color w:val="000000"/>
          <w:sz w:val="20"/>
          <w:szCs w:val="20"/>
          <w:lang w:eastAsia="sl-SI"/>
        </w:rPr>
        <w:softHyphen/>
        <w:t>___________________________________________________________________</w:t>
      </w:r>
    </w:p>
    <w:p w:rsidR="00E06BE3" w:rsidRDefault="00E06BE3"/>
    <w:sectPr w:rsidR="00E06BE3" w:rsidSect="00E727DD">
      <w:footerReference w:type="default" r:id="rId8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3B" w:rsidRDefault="009B443B" w:rsidP="00E727DD">
      <w:r>
        <w:separator/>
      </w:r>
    </w:p>
  </w:endnote>
  <w:endnote w:type="continuationSeparator" w:id="0">
    <w:p w:rsidR="009B443B" w:rsidRDefault="009B443B" w:rsidP="00E7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DD" w:rsidRPr="00E727DD" w:rsidRDefault="00E727DD" w:rsidP="00E727DD">
    <w:pPr>
      <w:pStyle w:val="Noga"/>
      <w:pBdr>
        <w:top w:val="single" w:sz="4" w:space="1" w:color="auto"/>
      </w:pBdr>
      <w:rPr>
        <w:sz w:val="16"/>
        <w:szCs w:val="16"/>
      </w:rPr>
    </w:pPr>
    <w:r w:rsidRPr="00E727DD">
      <w:rPr>
        <w:sz w:val="16"/>
        <w:szCs w:val="16"/>
      </w:rPr>
      <w:fldChar w:fldCharType="begin"/>
    </w:r>
    <w:r w:rsidRPr="00E727DD">
      <w:rPr>
        <w:sz w:val="16"/>
        <w:szCs w:val="16"/>
      </w:rPr>
      <w:instrText xml:space="preserve"> FILENAME  \p  \* MERGEFORMAT </w:instrText>
    </w:r>
    <w:r w:rsidRPr="00E727DD">
      <w:rPr>
        <w:sz w:val="16"/>
        <w:szCs w:val="16"/>
      </w:rPr>
      <w:fldChar w:fldCharType="separate"/>
    </w:r>
    <w:r w:rsidRPr="00E727DD">
      <w:rPr>
        <w:noProof/>
        <w:sz w:val="16"/>
        <w:szCs w:val="16"/>
      </w:rPr>
      <w:t>C:\Users\Ivica Podgornik\Documents\B WORD\SEKCIJE\GOSTINCI ŽIVILCI\OZS INFORMACIJE\AKRIAMID - priporočila za gostince APR 2019.docx</w:t>
    </w:r>
    <w:r w:rsidRPr="00E727D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3B" w:rsidRDefault="009B443B" w:rsidP="00E727DD">
      <w:r>
        <w:separator/>
      </w:r>
    </w:p>
  </w:footnote>
  <w:footnote w:type="continuationSeparator" w:id="0">
    <w:p w:rsidR="009B443B" w:rsidRDefault="009B443B" w:rsidP="00E7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8C2"/>
    <w:multiLevelType w:val="hybridMultilevel"/>
    <w:tmpl w:val="8B48AFD2"/>
    <w:lvl w:ilvl="0" w:tplc="4294820C">
      <w:start w:val="1"/>
      <w:numFmt w:val="bullet"/>
      <w:lvlText w:val="­"/>
      <w:lvlJc w:val="left"/>
      <w:pPr>
        <w:ind w:left="720" w:hanging="360"/>
      </w:pPr>
      <w:rPr>
        <w:rFonts w:ascii="Arial" w:eastAsia="Arial" w:hAnsi="Arial" w:hint="default"/>
        <w:w w:val="99"/>
        <w:position w:val="1"/>
        <w:sz w:val="20"/>
        <w:szCs w:val="20"/>
      </w:rPr>
    </w:lvl>
    <w:lvl w:ilvl="1" w:tplc="8A2AEB6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D34"/>
    <w:multiLevelType w:val="hybridMultilevel"/>
    <w:tmpl w:val="21E6FB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5239"/>
    <w:multiLevelType w:val="hybridMultilevel"/>
    <w:tmpl w:val="4C8E4DFA"/>
    <w:lvl w:ilvl="0" w:tplc="838E3E3E">
      <w:start w:val="1"/>
      <w:numFmt w:val="decimal"/>
      <w:lvlText w:val="%1"/>
      <w:lvlJc w:val="center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55E"/>
    <w:multiLevelType w:val="hybridMultilevel"/>
    <w:tmpl w:val="E854A30C"/>
    <w:lvl w:ilvl="0" w:tplc="4294820C">
      <w:start w:val="1"/>
      <w:numFmt w:val="bullet"/>
      <w:lvlText w:val="­"/>
      <w:lvlJc w:val="left"/>
      <w:pPr>
        <w:ind w:left="720" w:hanging="360"/>
      </w:pPr>
      <w:rPr>
        <w:rFonts w:ascii="Arial" w:eastAsia="Arial" w:hAnsi="Arial" w:hint="default"/>
        <w:w w:val="99"/>
        <w:position w:val="1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547D"/>
    <w:multiLevelType w:val="hybridMultilevel"/>
    <w:tmpl w:val="22743A06"/>
    <w:lvl w:ilvl="0" w:tplc="9E4EB62C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D1E3B"/>
    <w:multiLevelType w:val="hybridMultilevel"/>
    <w:tmpl w:val="0F1AB7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A64C3D"/>
    <w:multiLevelType w:val="hybridMultilevel"/>
    <w:tmpl w:val="EE86538E"/>
    <w:lvl w:ilvl="0" w:tplc="19DA2AD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75D99"/>
    <w:multiLevelType w:val="hybridMultilevel"/>
    <w:tmpl w:val="60A0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E3"/>
    <w:rsid w:val="002A4160"/>
    <w:rsid w:val="003B0AA5"/>
    <w:rsid w:val="009B443B"/>
    <w:rsid w:val="009E017F"/>
    <w:rsid w:val="00E06BE3"/>
    <w:rsid w:val="00E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6A34"/>
  <w15:chartTrackingRefBased/>
  <w15:docId w15:val="{C5B64BFB-77C9-4498-8C5D-BBA33D1D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6BE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06BE3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E06BE3"/>
    <w:pPr>
      <w:spacing w:after="200" w:line="276" w:lineRule="auto"/>
      <w:ind w:left="720"/>
    </w:pPr>
    <w:rPr>
      <w:lang w:eastAsia="sl-SI"/>
    </w:rPr>
  </w:style>
  <w:style w:type="paragraph" w:styleId="Brezrazmikov">
    <w:name w:val="No Spacing"/>
    <w:uiPriority w:val="1"/>
    <w:qFormat/>
    <w:rsid w:val="00E06BE3"/>
    <w:pPr>
      <w:spacing w:after="0" w:line="240" w:lineRule="auto"/>
    </w:pPr>
    <w:rPr>
      <w:rFonts w:ascii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E727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727D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E727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727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L/TXT/PDF/?uri=CELEX:32017R2158&amp;from=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Podgornik</dc:creator>
  <cp:keywords/>
  <dc:description/>
  <cp:lastModifiedBy>Ivica Podgornik</cp:lastModifiedBy>
  <cp:revision>2</cp:revision>
  <dcterms:created xsi:type="dcterms:W3CDTF">2019-04-12T10:15:00Z</dcterms:created>
  <dcterms:modified xsi:type="dcterms:W3CDTF">2019-04-12T10:18:00Z</dcterms:modified>
</cp:coreProperties>
</file>